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C8AC7" w14:textId="77777777" w:rsidR="00FB73DA" w:rsidRPr="000E18FD" w:rsidRDefault="00FB73DA">
      <w:pPr>
        <w:rPr>
          <w:rFonts w:asciiTheme="majorHAnsi" w:hAnsiTheme="majorHAnsi" w:cstheme="majorHAnsi"/>
        </w:rPr>
      </w:pPr>
    </w:p>
    <w:p w14:paraId="4E64B1A9" w14:textId="77777777" w:rsidR="000E18FD" w:rsidRPr="000E18FD" w:rsidRDefault="000E18FD">
      <w:pPr>
        <w:rPr>
          <w:rFonts w:asciiTheme="majorHAnsi" w:hAnsiTheme="majorHAnsi" w:cstheme="majorHAnsi"/>
        </w:rPr>
      </w:pPr>
    </w:p>
    <w:p w14:paraId="0800712C" w14:textId="77777777" w:rsidR="000E18FD" w:rsidRPr="000E18FD" w:rsidRDefault="000E18FD">
      <w:pPr>
        <w:rPr>
          <w:rFonts w:asciiTheme="majorHAnsi" w:hAnsiTheme="majorHAnsi" w:cstheme="majorHAnsi"/>
        </w:rPr>
      </w:pPr>
    </w:p>
    <w:p w14:paraId="1402511F" w14:textId="77777777" w:rsidR="000E18FD" w:rsidRPr="000E18FD" w:rsidRDefault="000E18FD">
      <w:pPr>
        <w:rPr>
          <w:rFonts w:asciiTheme="majorHAnsi" w:hAnsiTheme="majorHAnsi" w:cstheme="majorHAnsi"/>
          <w:sz w:val="28"/>
          <w:szCs w:val="28"/>
        </w:rPr>
      </w:pPr>
    </w:p>
    <w:p w14:paraId="37EEC537" w14:textId="77777777" w:rsidR="000E18FD" w:rsidRPr="000E18FD" w:rsidRDefault="000E18FD" w:rsidP="000E18FD">
      <w:pPr>
        <w:rPr>
          <w:rFonts w:asciiTheme="majorHAnsi" w:hAnsiTheme="majorHAnsi" w:cstheme="majorHAnsi"/>
          <w:b/>
          <w:bCs/>
          <w:sz w:val="72"/>
          <w:szCs w:val="72"/>
        </w:rPr>
      </w:pPr>
      <w:r w:rsidRPr="000E18FD">
        <w:rPr>
          <w:rFonts w:asciiTheme="majorHAnsi" w:hAnsiTheme="majorHAnsi" w:cstheme="majorHAnsi"/>
          <w:b/>
          <w:bCs/>
          <w:sz w:val="72"/>
          <w:szCs w:val="72"/>
        </w:rPr>
        <w:t xml:space="preserve">CCTP   </w:t>
      </w:r>
    </w:p>
    <w:p w14:paraId="5E10963C" w14:textId="77777777" w:rsidR="000E18FD" w:rsidRPr="000E18FD" w:rsidRDefault="000E18FD" w:rsidP="000E18FD">
      <w:pPr>
        <w:rPr>
          <w:rFonts w:asciiTheme="majorHAnsi" w:hAnsiTheme="majorHAnsi" w:cstheme="majorHAnsi"/>
          <w:b/>
          <w:bCs/>
          <w:sz w:val="52"/>
          <w:szCs w:val="52"/>
        </w:rPr>
      </w:pPr>
      <w:r w:rsidRPr="000E18FD">
        <w:rPr>
          <w:rFonts w:asciiTheme="majorHAnsi" w:hAnsiTheme="majorHAnsi" w:cstheme="majorHAnsi"/>
          <w:b/>
          <w:bCs/>
          <w:sz w:val="52"/>
          <w:szCs w:val="52"/>
        </w:rPr>
        <w:t>Cahier des Clauses Techniques Particulières</w:t>
      </w:r>
    </w:p>
    <w:p w14:paraId="3D607209" w14:textId="77777777" w:rsidR="000E18FD" w:rsidRPr="000E18FD" w:rsidRDefault="000E18FD" w:rsidP="000E18FD">
      <w:pPr>
        <w:rPr>
          <w:rFonts w:asciiTheme="majorHAnsi" w:hAnsiTheme="majorHAnsi" w:cstheme="majorHAnsi"/>
          <w:b/>
          <w:bCs/>
          <w:sz w:val="52"/>
          <w:szCs w:val="52"/>
        </w:rPr>
      </w:pPr>
    </w:p>
    <w:p w14:paraId="38038EDF" w14:textId="77777777" w:rsidR="000E18FD" w:rsidRPr="000E18FD" w:rsidRDefault="000E18FD" w:rsidP="000E18FD">
      <w:pPr>
        <w:rPr>
          <w:rFonts w:asciiTheme="majorHAnsi" w:hAnsiTheme="majorHAnsi" w:cstheme="majorHAnsi"/>
          <w:b/>
          <w:bCs/>
          <w:sz w:val="52"/>
          <w:szCs w:val="52"/>
        </w:rPr>
      </w:pPr>
      <w:r w:rsidRPr="000E18FD">
        <w:rPr>
          <w:rFonts w:asciiTheme="majorHAnsi" w:hAnsiTheme="majorHAnsi" w:cstheme="majorHAnsi"/>
          <w:b/>
          <w:bCs/>
          <w:sz w:val="52"/>
          <w:szCs w:val="52"/>
        </w:rPr>
        <w:t xml:space="preserve">              </w:t>
      </w:r>
      <w:r w:rsidRPr="000E18FD">
        <w:rPr>
          <w:rFonts w:asciiTheme="majorHAnsi" w:hAnsiTheme="majorHAnsi" w:cstheme="majorHAnsi"/>
          <w:b/>
          <w:bCs/>
          <w:sz w:val="144"/>
          <w:szCs w:val="144"/>
        </w:rPr>
        <w:t xml:space="preserve">Salle des Marchés AMU                 </w:t>
      </w:r>
    </w:p>
    <w:p w14:paraId="7B8CE56A" w14:textId="77777777" w:rsidR="000E18FD" w:rsidRPr="000E18FD" w:rsidRDefault="000E18FD" w:rsidP="000E18FD">
      <w:pPr>
        <w:rPr>
          <w:rFonts w:asciiTheme="majorHAnsi" w:hAnsiTheme="majorHAnsi" w:cstheme="majorHAnsi"/>
        </w:rPr>
      </w:pPr>
    </w:p>
    <w:p w14:paraId="6749FCA1" w14:textId="77777777" w:rsidR="000E18FD" w:rsidRPr="000E18FD" w:rsidRDefault="000E18FD" w:rsidP="000E18FD">
      <w:pPr>
        <w:jc w:val="both"/>
        <w:rPr>
          <w:rFonts w:asciiTheme="majorHAnsi" w:hAnsiTheme="majorHAnsi" w:cstheme="majorHAnsi"/>
          <w:sz w:val="28"/>
          <w:szCs w:val="28"/>
        </w:rPr>
      </w:pPr>
    </w:p>
    <w:p w14:paraId="1C6DA6B3" w14:textId="77777777" w:rsidR="000E18FD" w:rsidRPr="000E18FD" w:rsidRDefault="000E18FD" w:rsidP="000E18FD">
      <w:pPr>
        <w:jc w:val="both"/>
        <w:rPr>
          <w:rFonts w:asciiTheme="majorHAnsi" w:hAnsiTheme="majorHAnsi" w:cstheme="majorHAnsi"/>
          <w:sz w:val="28"/>
          <w:szCs w:val="28"/>
        </w:rPr>
      </w:pPr>
    </w:p>
    <w:p w14:paraId="35A0DE52" w14:textId="77777777" w:rsidR="000E18FD" w:rsidRPr="005003F3" w:rsidRDefault="00263413" w:rsidP="000E18FD">
      <w:pPr>
        <w:jc w:val="both"/>
        <w:rPr>
          <w:rFonts w:asciiTheme="majorHAnsi" w:eastAsia="Times New Roman" w:hAnsiTheme="majorHAnsi" w:cstheme="majorHAnsi"/>
          <w:b/>
          <w:bCs/>
          <w:color w:val="000000"/>
          <w:sz w:val="36"/>
          <w:szCs w:val="36"/>
          <w:lang w:eastAsia="fr-FR"/>
        </w:rPr>
      </w:pPr>
      <w:r w:rsidRPr="005003F3">
        <w:rPr>
          <w:rFonts w:asciiTheme="majorHAnsi" w:hAnsiTheme="majorHAnsi" w:cstheme="majorHAnsi"/>
          <w:b/>
          <w:sz w:val="28"/>
        </w:rPr>
        <w:t>Logiciel sur étagère en mode SAAS composé de 12 licences évolutives rattaché à un compte d’accès unique pour toutes les licences - formations (accès aux guides et supports en ligne) -maintenances préventives, correctives et évolutives et mises à jour comprises</w:t>
      </w:r>
    </w:p>
    <w:p w14:paraId="777DB997" w14:textId="77777777" w:rsidR="000E18FD" w:rsidRPr="000E18FD" w:rsidRDefault="000E18FD" w:rsidP="000E18FD">
      <w:pPr>
        <w:jc w:val="both"/>
        <w:rPr>
          <w:rFonts w:asciiTheme="majorHAnsi" w:eastAsia="Times New Roman" w:hAnsiTheme="majorHAnsi" w:cstheme="majorHAnsi"/>
          <w:color w:val="000000"/>
          <w:sz w:val="18"/>
          <w:szCs w:val="18"/>
          <w:lang w:eastAsia="fr-FR"/>
        </w:rPr>
      </w:pPr>
      <w:r w:rsidRPr="000E18FD">
        <w:rPr>
          <w:rFonts w:asciiTheme="majorHAnsi" w:eastAsia="Times New Roman" w:hAnsiTheme="majorHAnsi" w:cstheme="majorHAnsi"/>
          <w:color w:val="000000"/>
          <w:sz w:val="24"/>
          <w:szCs w:val="24"/>
          <w:lang w:eastAsia="fr-FR"/>
        </w:rPr>
        <w:t xml:space="preserve">Faculté d’Économie et de Gestion, site de la </w:t>
      </w:r>
      <w:proofErr w:type="spellStart"/>
      <w:r w:rsidRPr="000E18FD">
        <w:rPr>
          <w:rFonts w:asciiTheme="majorHAnsi" w:eastAsia="Times New Roman" w:hAnsiTheme="majorHAnsi" w:cstheme="majorHAnsi"/>
          <w:color w:val="000000"/>
          <w:sz w:val="24"/>
          <w:szCs w:val="24"/>
          <w:lang w:eastAsia="fr-FR"/>
        </w:rPr>
        <w:t>Pauliane</w:t>
      </w:r>
      <w:proofErr w:type="spellEnd"/>
      <w:r w:rsidRPr="000E18FD">
        <w:rPr>
          <w:rFonts w:asciiTheme="majorHAnsi" w:eastAsia="Times New Roman" w:hAnsiTheme="majorHAnsi" w:cstheme="majorHAnsi"/>
          <w:color w:val="000000"/>
          <w:sz w:val="24"/>
          <w:szCs w:val="24"/>
          <w:lang w:eastAsia="fr-FR"/>
        </w:rPr>
        <w:t>, 13100 Aix-en-Provence</w:t>
      </w:r>
    </w:p>
    <w:p w14:paraId="2D45D2D6" w14:textId="77777777" w:rsidR="000E18FD" w:rsidRDefault="000E18FD" w:rsidP="000E18FD">
      <w:pPr>
        <w:jc w:val="both"/>
        <w:rPr>
          <w:rFonts w:asciiTheme="majorHAnsi" w:eastAsia="Times New Roman" w:hAnsiTheme="majorHAnsi" w:cstheme="majorHAnsi"/>
          <w:b/>
          <w:bCs/>
          <w:color w:val="000000"/>
          <w:sz w:val="28"/>
          <w:szCs w:val="28"/>
          <w:lang w:eastAsia="fr-FR"/>
        </w:rPr>
      </w:pPr>
    </w:p>
    <w:p w14:paraId="6AB634AE" w14:textId="77777777" w:rsidR="000E18FD" w:rsidRDefault="000E18FD" w:rsidP="000E18FD">
      <w:pPr>
        <w:jc w:val="both"/>
        <w:rPr>
          <w:rFonts w:asciiTheme="majorHAnsi" w:eastAsia="Times New Roman" w:hAnsiTheme="majorHAnsi" w:cstheme="majorHAnsi"/>
          <w:b/>
          <w:bCs/>
          <w:color w:val="000000"/>
          <w:sz w:val="28"/>
          <w:szCs w:val="28"/>
          <w:lang w:eastAsia="fr-FR"/>
        </w:rPr>
      </w:pPr>
    </w:p>
    <w:p w14:paraId="6B0FE85A" w14:textId="77777777" w:rsidR="000E18FD" w:rsidRDefault="000E18FD" w:rsidP="000E18FD">
      <w:pPr>
        <w:jc w:val="both"/>
        <w:rPr>
          <w:rFonts w:asciiTheme="majorHAnsi" w:eastAsia="Times New Roman" w:hAnsiTheme="majorHAnsi" w:cstheme="majorHAnsi"/>
          <w:b/>
          <w:bCs/>
          <w:color w:val="000000"/>
          <w:sz w:val="28"/>
          <w:szCs w:val="28"/>
          <w:lang w:eastAsia="fr-FR"/>
        </w:rPr>
      </w:pPr>
    </w:p>
    <w:p w14:paraId="5C51A92C" w14:textId="77777777" w:rsidR="000E18FD" w:rsidRDefault="000E18FD" w:rsidP="000E18FD">
      <w:pPr>
        <w:jc w:val="both"/>
        <w:rPr>
          <w:rFonts w:asciiTheme="majorHAnsi" w:eastAsia="Times New Roman" w:hAnsiTheme="majorHAnsi" w:cstheme="majorHAnsi"/>
          <w:b/>
          <w:bCs/>
          <w:color w:val="000000"/>
          <w:sz w:val="28"/>
          <w:szCs w:val="28"/>
          <w:lang w:eastAsia="fr-FR"/>
        </w:rPr>
      </w:pPr>
    </w:p>
    <w:p w14:paraId="43D3ED27" w14:textId="77777777" w:rsidR="000E18FD" w:rsidRDefault="000E18FD" w:rsidP="000E18FD">
      <w:pPr>
        <w:jc w:val="both"/>
        <w:rPr>
          <w:rFonts w:asciiTheme="majorHAnsi" w:eastAsia="Times New Roman" w:hAnsiTheme="majorHAnsi" w:cstheme="majorHAnsi"/>
          <w:b/>
          <w:bCs/>
          <w:color w:val="000000"/>
          <w:sz w:val="28"/>
          <w:szCs w:val="28"/>
          <w:lang w:eastAsia="fr-FR"/>
        </w:rPr>
      </w:pPr>
    </w:p>
    <w:p w14:paraId="343DC7C9" w14:textId="77777777" w:rsidR="000E18FD" w:rsidRDefault="000E18FD" w:rsidP="000E18FD">
      <w:pPr>
        <w:jc w:val="both"/>
        <w:rPr>
          <w:rFonts w:asciiTheme="majorHAnsi" w:eastAsia="Times New Roman" w:hAnsiTheme="majorHAnsi" w:cstheme="majorHAnsi"/>
          <w:b/>
          <w:bCs/>
          <w:color w:val="000000"/>
          <w:sz w:val="28"/>
          <w:szCs w:val="28"/>
          <w:lang w:eastAsia="fr-FR"/>
        </w:rPr>
      </w:pPr>
    </w:p>
    <w:p w14:paraId="412642F6" w14:textId="77777777" w:rsidR="000E18FD" w:rsidRDefault="000E18FD" w:rsidP="000E18FD">
      <w:pPr>
        <w:jc w:val="both"/>
        <w:rPr>
          <w:rFonts w:asciiTheme="majorHAnsi" w:eastAsia="Times New Roman" w:hAnsiTheme="majorHAnsi" w:cstheme="majorHAnsi"/>
          <w:b/>
          <w:bCs/>
          <w:color w:val="000000"/>
          <w:sz w:val="28"/>
          <w:szCs w:val="28"/>
          <w:lang w:eastAsia="fr-FR"/>
        </w:rPr>
      </w:pPr>
    </w:p>
    <w:p w14:paraId="73E3A225" w14:textId="77777777" w:rsidR="000E18FD" w:rsidRDefault="000E18FD">
      <w:pPr>
        <w:rPr>
          <w:rFonts w:asciiTheme="majorHAnsi" w:eastAsia="Times New Roman" w:hAnsiTheme="majorHAnsi" w:cstheme="majorHAnsi"/>
          <w:b/>
          <w:bCs/>
          <w:color w:val="000000"/>
          <w:sz w:val="28"/>
          <w:szCs w:val="28"/>
          <w:lang w:eastAsia="fr-FR"/>
        </w:rPr>
      </w:pPr>
      <w:r>
        <w:rPr>
          <w:rFonts w:asciiTheme="majorHAnsi" w:eastAsia="Times New Roman" w:hAnsiTheme="majorHAnsi" w:cstheme="majorHAnsi"/>
          <w:b/>
          <w:bCs/>
          <w:color w:val="000000"/>
          <w:sz w:val="28"/>
          <w:szCs w:val="28"/>
          <w:lang w:eastAsia="fr-FR"/>
        </w:rPr>
        <w:br w:type="page"/>
      </w:r>
    </w:p>
    <w:p w14:paraId="7ED049EB" w14:textId="77777777" w:rsidR="000E18FD" w:rsidRDefault="000E18FD" w:rsidP="000E18FD">
      <w:pPr>
        <w:jc w:val="both"/>
        <w:rPr>
          <w:rFonts w:asciiTheme="majorHAnsi" w:eastAsia="Times New Roman" w:hAnsiTheme="majorHAnsi" w:cstheme="majorHAnsi"/>
          <w:b/>
          <w:bCs/>
          <w:color w:val="000000"/>
          <w:sz w:val="28"/>
          <w:szCs w:val="28"/>
          <w:lang w:eastAsia="fr-FR"/>
        </w:rPr>
      </w:pPr>
    </w:p>
    <w:sdt>
      <w:sdtPr>
        <w:rPr>
          <w:rFonts w:asciiTheme="minorHAnsi" w:eastAsiaTheme="minorHAnsi" w:hAnsiTheme="minorHAnsi" w:cstheme="minorBidi"/>
          <w:color w:val="auto"/>
          <w:sz w:val="22"/>
          <w:szCs w:val="22"/>
          <w:lang w:eastAsia="en-US"/>
        </w:rPr>
        <w:id w:val="2052960182"/>
        <w:docPartObj>
          <w:docPartGallery w:val="Table of Contents"/>
          <w:docPartUnique/>
        </w:docPartObj>
      </w:sdtPr>
      <w:sdtEndPr>
        <w:rPr>
          <w:b/>
          <w:bCs/>
        </w:rPr>
      </w:sdtEndPr>
      <w:sdtContent>
        <w:p w14:paraId="17B0AC8B" w14:textId="77777777" w:rsidR="009975CF" w:rsidRDefault="009975CF">
          <w:pPr>
            <w:pStyle w:val="En-ttedetabledesmatires"/>
          </w:pPr>
          <w:r>
            <w:t>Table des matières</w:t>
          </w:r>
        </w:p>
        <w:p w14:paraId="6FD800D2" w14:textId="77777777" w:rsidR="00B7612B" w:rsidRDefault="00CA6566">
          <w:pPr>
            <w:pStyle w:val="TM1"/>
            <w:tabs>
              <w:tab w:val="right" w:leader="dot" w:pos="9062"/>
            </w:tabs>
            <w:rPr>
              <w:rFonts w:eastAsiaTheme="minorEastAsia"/>
              <w:noProof/>
              <w:lang w:eastAsia="fr-FR"/>
            </w:rPr>
          </w:pPr>
          <w:r>
            <w:fldChar w:fldCharType="begin"/>
          </w:r>
          <w:r w:rsidR="009975CF">
            <w:instrText xml:space="preserve"> TOC \o "1-3" \h \z \u </w:instrText>
          </w:r>
          <w:r>
            <w:fldChar w:fldCharType="separate"/>
          </w:r>
          <w:hyperlink w:anchor="_Toc192172657" w:history="1">
            <w:r w:rsidR="00B7612B" w:rsidRPr="001F3BD8">
              <w:rPr>
                <w:rStyle w:val="Lienhypertexte"/>
                <w:rFonts w:eastAsia="Times New Roman"/>
                <w:noProof/>
                <w:lang w:eastAsia="fr-FR"/>
              </w:rPr>
              <w:t>Présentation</w:t>
            </w:r>
            <w:r w:rsidR="00B7612B">
              <w:rPr>
                <w:noProof/>
                <w:webHidden/>
              </w:rPr>
              <w:tab/>
            </w:r>
            <w:r>
              <w:rPr>
                <w:noProof/>
                <w:webHidden/>
              </w:rPr>
              <w:fldChar w:fldCharType="begin"/>
            </w:r>
            <w:r w:rsidR="00B7612B">
              <w:rPr>
                <w:noProof/>
                <w:webHidden/>
              </w:rPr>
              <w:instrText xml:space="preserve"> PAGEREF _Toc192172657 \h </w:instrText>
            </w:r>
            <w:r>
              <w:rPr>
                <w:noProof/>
                <w:webHidden/>
              </w:rPr>
            </w:r>
            <w:r>
              <w:rPr>
                <w:noProof/>
                <w:webHidden/>
              </w:rPr>
              <w:fldChar w:fldCharType="separate"/>
            </w:r>
            <w:r w:rsidR="00B7612B">
              <w:rPr>
                <w:noProof/>
                <w:webHidden/>
              </w:rPr>
              <w:t>3</w:t>
            </w:r>
            <w:r>
              <w:rPr>
                <w:noProof/>
                <w:webHidden/>
              </w:rPr>
              <w:fldChar w:fldCharType="end"/>
            </w:r>
          </w:hyperlink>
        </w:p>
        <w:p w14:paraId="4CA47E8F" w14:textId="77777777" w:rsidR="00B7612B" w:rsidRDefault="00FA74B0">
          <w:pPr>
            <w:pStyle w:val="TM1"/>
            <w:tabs>
              <w:tab w:val="right" w:leader="dot" w:pos="9062"/>
            </w:tabs>
            <w:rPr>
              <w:rFonts w:eastAsiaTheme="minorEastAsia"/>
              <w:noProof/>
              <w:lang w:eastAsia="fr-FR"/>
            </w:rPr>
          </w:pPr>
          <w:hyperlink w:anchor="_Toc192172658" w:history="1">
            <w:r w:rsidR="00B7612B" w:rsidRPr="001F3BD8">
              <w:rPr>
                <w:rStyle w:val="Lienhypertexte"/>
                <w:rFonts w:eastAsia="Times New Roman"/>
                <w:noProof/>
                <w:lang w:eastAsia="fr-FR"/>
              </w:rPr>
              <w:t>Descriptions des prestations</w:t>
            </w:r>
            <w:r w:rsidR="00B7612B">
              <w:rPr>
                <w:noProof/>
                <w:webHidden/>
              </w:rPr>
              <w:tab/>
            </w:r>
            <w:r w:rsidR="00CA6566">
              <w:rPr>
                <w:noProof/>
                <w:webHidden/>
              </w:rPr>
              <w:fldChar w:fldCharType="begin"/>
            </w:r>
            <w:r w:rsidR="00B7612B">
              <w:rPr>
                <w:noProof/>
                <w:webHidden/>
              </w:rPr>
              <w:instrText xml:space="preserve"> PAGEREF _Toc192172658 \h </w:instrText>
            </w:r>
            <w:r w:rsidR="00CA6566">
              <w:rPr>
                <w:noProof/>
                <w:webHidden/>
              </w:rPr>
            </w:r>
            <w:r w:rsidR="00CA6566">
              <w:rPr>
                <w:noProof/>
                <w:webHidden/>
              </w:rPr>
              <w:fldChar w:fldCharType="separate"/>
            </w:r>
            <w:r w:rsidR="00B7612B">
              <w:rPr>
                <w:noProof/>
                <w:webHidden/>
              </w:rPr>
              <w:t>4</w:t>
            </w:r>
            <w:r w:rsidR="00CA6566">
              <w:rPr>
                <w:noProof/>
                <w:webHidden/>
              </w:rPr>
              <w:fldChar w:fldCharType="end"/>
            </w:r>
          </w:hyperlink>
        </w:p>
        <w:p w14:paraId="5D9820F8" w14:textId="77777777" w:rsidR="00B7612B" w:rsidRDefault="00FA74B0">
          <w:pPr>
            <w:pStyle w:val="TM2"/>
            <w:tabs>
              <w:tab w:val="right" w:leader="dot" w:pos="9062"/>
            </w:tabs>
            <w:rPr>
              <w:rFonts w:eastAsiaTheme="minorEastAsia"/>
              <w:noProof/>
              <w:lang w:eastAsia="fr-FR"/>
            </w:rPr>
          </w:pPr>
          <w:hyperlink w:anchor="_Toc192172659" w:history="1">
            <w:r w:rsidR="00B7612B" w:rsidRPr="001F3BD8">
              <w:rPr>
                <w:rStyle w:val="Lienhypertexte"/>
                <w:rFonts w:eastAsia="Times New Roman"/>
                <w:noProof/>
                <w:lang w:eastAsia="fr-FR"/>
              </w:rPr>
              <w:t>Livrables attendus</w:t>
            </w:r>
            <w:r w:rsidR="00B7612B">
              <w:rPr>
                <w:noProof/>
                <w:webHidden/>
              </w:rPr>
              <w:tab/>
            </w:r>
            <w:r w:rsidR="00CA6566">
              <w:rPr>
                <w:noProof/>
                <w:webHidden/>
              </w:rPr>
              <w:fldChar w:fldCharType="begin"/>
            </w:r>
            <w:r w:rsidR="00B7612B">
              <w:rPr>
                <w:noProof/>
                <w:webHidden/>
              </w:rPr>
              <w:instrText xml:space="preserve"> PAGEREF _Toc192172659 \h </w:instrText>
            </w:r>
            <w:r w:rsidR="00CA6566">
              <w:rPr>
                <w:noProof/>
                <w:webHidden/>
              </w:rPr>
            </w:r>
            <w:r w:rsidR="00CA6566">
              <w:rPr>
                <w:noProof/>
                <w:webHidden/>
              </w:rPr>
              <w:fldChar w:fldCharType="separate"/>
            </w:r>
            <w:r w:rsidR="00B7612B">
              <w:rPr>
                <w:noProof/>
                <w:webHidden/>
              </w:rPr>
              <w:t>4</w:t>
            </w:r>
            <w:r w:rsidR="00CA6566">
              <w:rPr>
                <w:noProof/>
                <w:webHidden/>
              </w:rPr>
              <w:fldChar w:fldCharType="end"/>
            </w:r>
          </w:hyperlink>
        </w:p>
        <w:p w14:paraId="3035AEF3" w14:textId="77777777" w:rsidR="00B7612B" w:rsidRDefault="00FA74B0">
          <w:pPr>
            <w:pStyle w:val="TM2"/>
            <w:tabs>
              <w:tab w:val="right" w:leader="dot" w:pos="9062"/>
            </w:tabs>
            <w:rPr>
              <w:rFonts w:eastAsiaTheme="minorEastAsia"/>
              <w:noProof/>
              <w:lang w:eastAsia="fr-FR"/>
            </w:rPr>
          </w:pPr>
          <w:hyperlink w:anchor="_Toc192172660" w:history="1">
            <w:r w:rsidR="00B7612B" w:rsidRPr="001F3BD8">
              <w:rPr>
                <w:rStyle w:val="Lienhypertexte"/>
                <w:rFonts w:eastAsia="Times New Roman"/>
                <w:noProof/>
                <w:lang w:eastAsia="fr-FR"/>
              </w:rPr>
              <w:t>Descriptif du type de licences de salle des marchés, fonctionnalités requises</w:t>
            </w:r>
            <w:r w:rsidR="00B7612B">
              <w:rPr>
                <w:noProof/>
                <w:webHidden/>
              </w:rPr>
              <w:tab/>
            </w:r>
            <w:r w:rsidR="00CA6566">
              <w:rPr>
                <w:noProof/>
                <w:webHidden/>
              </w:rPr>
              <w:fldChar w:fldCharType="begin"/>
            </w:r>
            <w:r w:rsidR="00B7612B">
              <w:rPr>
                <w:noProof/>
                <w:webHidden/>
              </w:rPr>
              <w:instrText xml:space="preserve"> PAGEREF _Toc192172660 \h </w:instrText>
            </w:r>
            <w:r w:rsidR="00CA6566">
              <w:rPr>
                <w:noProof/>
                <w:webHidden/>
              </w:rPr>
            </w:r>
            <w:r w:rsidR="00CA6566">
              <w:rPr>
                <w:noProof/>
                <w:webHidden/>
              </w:rPr>
              <w:fldChar w:fldCharType="separate"/>
            </w:r>
            <w:r w:rsidR="00B7612B">
              <w:rPr>
                <w:noProof/>
                <w:webHidden/>
              </w:rPr>
              <w:t>5</w:t>
            </w:r>
            <w:r w:rsidR="00CA6566">
              <w:rPr>
                <w:noProof/>
                <w:webHidden/>
              </w:rPr>
              <w:fldChar w:fldCharType="end"/>
            </w:r>
          </w:hyperlink>
        </w:p>
        <w:p w14:paraId="1685667D" w14:textId="77777777" w:rsidR="00B7612B" w:rsidRDefault="00FA74B0">
          <w:pPr>
            <w:pStyle w:val="TM2"/>
            <w:tabs>
              <w:tab w:val="right" w:leader="dot" w:pos="9062"/>
            </w:tabs>
            <w:rPr>
              <w:rFonts w:eastAsiaTheme="minorEastAsia"/>
              <w:noProof/>
              <w:lang w:eastAsia="fr-FR"/>
            </w:rPr>
          </w:pPr>
          <w:hyperlink w:anchor="_Toc192172661" w:history="1">
            <w:r w:rsidR="00B7612B" w:rsidRPr="001F3BD8">
              <w:rPr>
                <w:rStyle w:val="Lienhypertexte"/>
                <w:rFonts w:eastAsia="Times New Roman"/>
                <w:noProof/>
                <w:lang w:eastAsia="fr-FR"/>
              </w:rPr>
              <w:t>Descriptif technique</w:t>
            </w:r>
            <w:r w:rsidR="00B7612B">
              <w:rPr>
                <w:noProof/>
                <w:webHidden/>
              </w:rPr>
              <w:tab/>
            </w:r>
            <w:r w:rsidR="00CA6566">
              <w:rPr>
                <w:noProof/>
                <w:webHidden/>
              </w:rPr>
              <w:fldChar w:fldCharType="begin"/>
            </w:r>
            <w:r w:rsidR="00B7612B">
              <w:rPr>
                <w:noProof/>
                <w:webHidden/>
              </w:rPr>
              <w:instrText xml:space="preserve"> PAGEREF _Toc192172661 \h </w:instrText>
            </w:r>
            <w:r w:rsidR="00CA6566">
              <w:rPr>
                <w:noProof/>
                <w:webHidden/>
              </w:rPr>
            </w:r>
            <w:r w:rsidR="00CA6566">
              <w:rPr>
                <w:noProof/>
                <w:webHidden/>
              </w:rPr>
              <w:fldChar w:fldCharType="separate"/>
            </w:r>
            <w:r w:rsidR="00B7612B">
              <w:rPr>
                <w:noProof/>
                <w:webHidden/>
              </w:rPr>
              <w:t>5</w:t>
            </w:r>
            <w:r w:rsidR="00CA6566">
              <w:rPr>
                <w:noProof/>
                <w:webHidden/>
              </w:rPr>
              <w:fldChar w:fldCharType="end"/>
            </w:r>
          </w:hyperlink>
        </w:p>
        <w:p w14:paraId="16B98475" w14:textId="77777777" w:rsidR="00B7612B" w:rsidRDefault="00FA74B0">
          <w:pPr>
            <w:pStyle w:val="TM1"/>
            <w:tabs>
              <w:tab w:val="right" w:leader="dot" w:pos="9062"/>
            </w:tabs>
            <w:rPr>
              <w:rFonts w:eastAsiaTheme="minorEastAsia"/>
              <w:noProof/>
              <w:lang w:eastAsia="fr-FR"/>
            </w:rPr>
          </w:pPr>
          <w:hyperlink w:anchor="_Toc192172662" w:history="1">
            <w:r w:rsidR="00B7612B" w:rsidRPr="001F3BD8">
              <w:rPr>
                <w:rStyle w:val="Lienhypertexte"/>
                <w:noProof/>
              </w:rPr>
              <w:t>Conditions de prix</w:t>
            </w:r>
            <w:r w:rsidR="00B7612B">
              <w:rPr>
                <w:noProof/>
                <w:webHidden/>
              </w:rPr>
              <w:tab/>
            </w:r>
            <w:r w:rsidR="00CA6566">
              <w:rPr>
                <w:noProof/>
                <w:webHidden/>
              </w:rPr>
              <w:fldChar w:fldCharType="begin"/>
            </w:r>
            <w:r w:rsidR="00B7612B">
              <w:rPr>
                <w:noProof/>
                <w:webHidden/>
              </w:rPr>
              <w:instrText xml:space="preserve"> PAGEREF _Toc192172662 \h </w:instrText>
            </w:r>
            <w:r w:rsidR="00CA6566">
              <w:rPr>
                <w:noProof/>
                <w:webHidden/>
              </w:rPr>
            </w:r>
            <w:r w:rsidR="00CA6566">
              <w:rPr>
                <w:noProof/>
                <w:webHidden/>
              </w:rPr>
              <w:fldChar w:fldCharType="separate"/>
            </w:r>
            <w:r w:rsidR="00B7612B">
              <w:rPr>
                <w:noProof/>
                <w:webHidden/>
              </w:rPr>
              <w:t>5</w:t>
            </w:r>
            <w:r w:rsidR="00CA6566">
              <w:rPr>
                <w:noProof/>
                <w:webHidden/>
              </w:rPr>
              <w:fldChar w:fldCharType="end"/>
            </w:r>
          </w:hyperlink>
        </w:p>
        <w:p w14:paraId="661B3513" w14:textId="77777777" w:rsidR="00B7612B" w:rsidRDefault="00FA74B0">
          <w:pPr>
            <w:pStyle w:val="TM1"/>
            <w:tabs>
              <w:tab w:val="right" w:leader="dot" w:pos="9062"/>
            </w:tabs>
            <w:rPr>
              <w:rFonts w:eastAsiaTheme="minorEastAsia"/>
              <w:noProof/>
              <w:lang w:eastAsia="fr-FR"/>
            </w:rPr>
          </w:pPr>
          <w:hyperlink w:anchor="_Toc192172663" w:history="1">
            <w:r w:rsidR="00B7612B" w:rsidRPr="001F3BD8">
              <w:rPr>
                <w:rStyle w:val="Lienhypertexte"/>
                <w:rFonts w:ascii="Calibri Light" w:hAnsi="Calibri Light" w:cs="Calibri Light"/>
                <w:noProof/>
              </w:rPr>
              <w:t>Critères d’évaluation</w:t>
            </w:r>
            <w:r w:rsidR="00B7612B">
              <w:rPr>
                <w:noProof/>
                <w:webHidden/>
              </w:rPr>
              <w:tab/>
            </w:r>
            <w:r w:rsidR="00CA6566">
              <w:rPr>
                <w:noProof/>
                <w:webHidden/>
              </w:rPr>
              <w:fldChar w:fldCharType="begin"/>
            </w:r>
            <w:r w:rsidR="00B7612B">
              <w:rPr>
                <w:noProof/>
                <w:webHidden/>
              </w:rPr>
              <w:instrText xml:space="preserve"> PAGEREF _Toc192172663 \h </w:instrText>
            </w:r>
            <w:r w:rsidR="00CA6566">
              <w:rPr>
                <w:noProof/>
                <w:webHidden/>
              </w:rPr>
            </w:r>
            <w:r w:rsidR="00CA6566">
              <w:rPr>
                <w:noProof/>
                <w:webHidden/>
              </w:rPr>
              <w:fldChar w:fldCharType="separate"/>
            </w:r>
            <w:r w:rsidR="00B7612B">
              <w:rPr>
                <w:noProof/>
                <w:webHidden/>
              </w:rPr>
              <w:t>6</w:t>
            </w:r>
            <w:r w:rsidR="00CA6566">
              <w:rPr>
                <w:noProof/>
                <w:webHidden/>
              </w:rPr>
              <w:fldChar w:fldCharType="end"/>
            </w:r>
          </w:hyperlink>
        </w:p>
        <w:p w14:paraId="3CCFF910" w14:textId="77777777" w:rsidR="00B7612B" w:rsidRDefault="00FA74B0">
          <w:pPr>
            <w:pStyle w:val="TM1"/>
            <w:tabs>
              <w:tab w:val="right" w:leader="dot" w:pos="9062"/>
            </w:tabs>
            <w:rPr>
              <w:rFonts w:eastAsiaTheme="minorEastAsia"/>
              <w:noProof/>
              <w:lang w:eastAsia="fr-FR"/>
            </w:rPr>
          </w:pPr>
          <w:hyperlink w:anchor="_Toc192172664" w:history="1">
            <w:r w:rsidR="00B7612B" w:rsidRPr="001F3BD8">
              <w:rPr>
                <w:rStyle w:val="Lienhypertexte"/>
                <w:noProof/>
              </w:rPr>
              <w:t>Calendrier Prévisionnel</w:t>
            </w:r>
            <w:r w:rsidR="00B7612B">
              <w:rPr>
                <w:noProof/>
                <w:webHidden/>
              </w:rPr>
              <w:tab/>
            </w:r>
            <w:r w:rsidR="00CA6566">
              <w:rPr>
                <w:noProof/>
                <w:webHidden/>
              </w:rPr>
              <w:fldChar w:fldCharType="begin"/>
            </w:r>
            <w:r w:rsidR="00B7612B">
              <w:rPr>
                <w:noProof/>
                <w:webHidden/>
              </w:rPr>
              <w:instrText xml:space="preserve"> PAGEREF _Toc192172664 \h </w:instrText>
            </w:r>
            <w:r w:rsidR="00CA6566">
              <w:rPr>
                <w:noProof/>
                <w:webHidden/>
              </w:rPr>
            </w:r>
            <w:r w:rsidR="00CA6566">
              <w:rPr>
                <w:noProof/>
                <w:webHidden/>
              </w:rPr>
              <w:fldChar w:fldCharType="separate"/>
            </w:r>
            <w:r w:rsidR="00B7612B">
              <w:rPr>
                <w:noProof/>
                <w:webHidden/>
              </w:rPr>
              <w:t>6</w:t>
            </w:r>
            <w:r w:rsidR="00CA6566">
              <w:rPr>
                <w:noProof/>
                <w:webHidden/>
              </w:rPr>
              <w:fldChar w:fldCharType="end"/>
            </w:r>
          </w:hyperlink>
        </w:p>
        <w:p w14:paraId="1192A884" w14:textId="77777777" w:rsidR="00B7612B" w:rsidRDefault="00FA74B0">
          <w:pPr>
            <w:pStyle w:val="TM1"/>
            <w:tabs>
              <w:tab w:val="right" w:leader="dot" w:pos="9062"/>
            </w:tabs>
            <w:rPr>
              <w:rFonts w:eastAsiaTheme="minorEastAsia"/>
              <w:noProof/>
              <w:lang w:eastAsia="fr-FR"/>
            </w:rPr>
          </w:pPr>
          <w:hyperlink w:anchor="_Toc192172665" w:history="1">
            <w:r w:rsidR="00B7612B" w:rsidRPr="001F3BD8">
              <w:rPr>
                <w:rStyle w:val="Lienhypertexte"/>
                <w:noProof/>
              </w:rPr>
              <w:t>Durée et délais du Marché</w:t>
            </w:r>
            <w:r w:rsidR="00B7612B">
              <w:rPr>
                <w:noProof/>
                <w:webHidden/>
              </w:rPr>
              <w:tab/>
            </w:r>
            <w:r w:rsidR="00CA6566">
              <w:rPr>
                <w:noProof/>
                <w:webHidden/>
              </w:rPr>
              <w:fldChar w:fldCharType="begin"/>
            </w:r>
            <w:r w:rsidR="00B7612B">
              <w:rPr>
                <w:noProof/>
                <w:webHidden/>
              </w:rPr>
              <w:instrText xml:space="preserve"> PAGEREF _Toc192172665 \h </w:instrText>
            </w:r>
            <w:r w:rsidR="00CA6566">
              <w:rPr>
                <w:noProof/>
                <w:webHidden/>
              </w:rPr>
            </w:r>
            <w:r w:rsidR="00CA6566">
              <w:rPr>
                <w:noProof/>
                <w:webHidden/>
              </w:rPr>
              <w:fldChar w:fldCharType="separate"/>
            </w:r>
            <w:r w:rsidR="00B7612B">
              <w:rPr>
                <w:noProof/>
                <w:webHidden/>
              </w:rPr>
              <w:t>6</w:t>
            </w:r>
            <w:r w:rsidR="00CA6566">
              <w:rPr>
                <w:noProof/>
                <w:webHidden/>
              </w:rPr>
              <w:fldChar w:fldCharType="end"/>
            </w:r>
          </w:hyperlink>
        </w:p>
        <w:p w14:paraId="4257914A" w14:textId="77777777" w:rsidR="009975CF" w:rsidRDefault="00CA6566">
          <w:r>
            <w:rPr>
              <w:b/>
              <w:bCs/>
            </w:rPr>
            <w:fldChar w:fldCharType="end"/>
          </w:r>
        </w:p>
      </w:sdtContent>
    </w:sdt>
    <w:p w14:paraId="346DACB5" w14:textId="77777777" w:rsidR="000E18FD" w:rsidRDefault="000E18FD" w:rsidP="000E18FD">
      <w:pPr>
        <w:jc w:val="both"/>
        <w:rPr>
          <w:rFonts w:asciiTheme="majorHAnsi" w:eastAsia="Times New Roman" w:hAnsiTheme="majorHAnsi" w:cstheme="majorHAnsi"/>
          <w:b/>
          <w:bCs/>
          <w:color w:val="000000"/>
          <w:sz w:val="28"/>
          <w:szCs w:val="28"/>
          <w:lang w:eastAsia="fr-FR"/>
        </w:rPr>
      </w:pPr>
    </w:p>
    <w:p w14:paraId="6E877A03" w14:textId="77777777" w:rsidR="000E18FD" w:rsidRDefault="000E18FD" w:rsidP="000E18FD">
      <w:pPr>
        <w:jc w:val="both"/>
        <w:rPr>
          <w:rFonts w:asciiTheme="majorHAnsi" w:eastAsia="Times New Roman" w:hAnsiTheme="majorHAnsi" w:cstheme="majorHAnsi"/>
          <w:b/>
          <w:bCs/>
          <w:color w:val="000000"/>
          <w:sz w:val="28"/>
          <w:szCs w:val="28"/>
          <w:lang w:eastAsia="fr-FR"/>
        </w:rPr>
      </w:pPr>
    </w:p>
    <w:p w14:paraId="5E60B242" w14:textId="77777777" w:rsidR="0041012B" w:rsidRPr="0041012B" w:rsidRDefault="0041012B" w:rsidP="00EB1F7A">
      <w:pPr>
        <w:pStyle w:val="Titre1"/>
        <w:rPr>
          <w:rFonts w:eastAsia="Times New Roman"/>
          <w:lang w:eastAsia="fr-FR"/>
        </w:rPr>
      </w:pPr>
      <w:bookmarkStart w:id="0" w:name="_Toc192172657"/>
      <w:r w:rsidRPr="0041012B">
        <w:rPr>
          <w:rFonts w:eastAsia="Times New Roman"/>
          <w:lang w:eastAsia="fr-FR"/>
        </w:rPr>
        <w:t>Présentation</w:t>
      </w:r>
      <w:bookmarkEnd w:id="0"/>
    </w:p>
    <w:p w14:paraId="3EA380D8"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p>
    <w:p w14:paraId="2192A368"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 xml:space="preserve">    Les salles de</w:t>
      </w:r>
      <w:r>
        <w:rPr>
          <w:rFonts w:asciiTheme="majorHAnsi" w:eastAsia="Times New Roman" w:hAnsiTheme="majorHAnsi" w:cstheme="majorHAnsi"/>
          <w:color w:val="000000"/>
          <w:sz w:val="24"/>
          <w:szCs w:val="24"/>
          <w:lang w:eastAsia="fr-FR"/>
        </w:rPr>
        <w:t>s</w:t>
      </w:r>
      <w:r w:rsidRPr="0041012B">
        <w:rPr>
          <w:rFonts w:asciiTheme="majorHAnsi" w:eastAsia="Times New Roman" w:hAnsiTheme="majorHAnsi" w:cstheme="majorHAnsi"/>
          <w:color w:val="000000"/>
          <w:sz w:val="24"/>
          <w:szCs w:val="24"/>
          <w:lang w:eastAsia="fr-FR"/>
        </w:rPr>
        <w:t xml:space="preserve"> marché</w:t>
      </w:r>
      <w:r>
        <w:rPr>
          <w:rFonts w:asciiTheme="majorHAnsi" w:eastAsia="Times New Roman" w:hAnsiTheme="majorHAnsi" w:cstheme="majorHAnsi"/>
          <w:color w:val="000000"/>
          <w:sz w:val="24"/>
          <w:szCs w:val="24"/>
          <w:lang w:eastAsia="fr-FR"/>
        </w:rPr>
        <w:t>s</w:t>
      </w:r>
      <w:r w:rsidRPr="0041012B">
        <w:rPr>
          <w:rFonts w:asciiTheme="majorHAnsi" w:eastAsia="Times New Roman" w:hAnsiTheme="majorHAnsi" w:cstheme="majorHAnsi"/>
          <w:color w:val="000000"/>
          <w:sz w:val="24"/>
          <w:szCs w:val="24"/>
          <w:lang w:eastAsia="fr-FR"/>
        </w:rPr>
        <w:t xml:space="preserve">, également appelées salles de trading, sont des espaces dédiés au sein des banques d'investissement et des institutions financières où les équipes de traders se consacrent à l’achat et à la vente d’actifs financiers tels que des actions, des devises, des obligations et des produits dérivés. Ces environnements sont équipés de multiples écrans affichant des données en temps réel, des graphiques financiers, des nouvelles économiques et d'autres informations pertinentes permettant aux traders de prendre des décisions éclairées et rapides. Les salles de marché sont également des centres névralgiques pour la gestion des risques financiers et la liquidité des actifs, où des stratégies complexes sont mises en œuvre, souvent à l'aide d'outils technologiques avancés et d'algorithmes de trading. </w:t>
      </w:r>
    </w:p>
    <w:p w14:paraId="11938475"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 xml:space="preserve">    Salles de</w:t>
      </w:r>
      <w:r>
        <w:rPr>
          <w:rFonts w:asciiTheme="majorHAnsi" w:eastAsia="Times New Roman" w:hAnsiTheme="majorHAnsi" w:cstheme="majorHAnsi"/>
          <w:color w:val="000000"/>
          <w:sz w:val="24"/>
          <w:szCs w:val="24"/>
          <w:lang w:eastAsia="fr-FR"/>
        </w:rPr>
        <w:t>s</w:t>
      </w:r>
      <w:r w:rsidRPr="0041012B">
        <w:rPr>
          <w:rFonts w:asciiTheme="majorHAnsi" w:eastAsia="Times New Roman" w:hAnsiTheme="majorHAnsi" w:cstheme="majorHAnsi"/>
          <w:color w:val="000000"/>
          <w:sz w:val="24"/>
          <w:szCs w:val="24"/>
          <w:lang w:eastAsia="fr-FR"/>
        </w:rPr>
        <w:t xml:space="preserve"> marché</w:t>
      </w:r>
      <w:r>
        <w:rPr>
          <w:rFonts w:asciiTheme="majorHAnsi" w:eastAsia="Times New Roman" w:hAnsiTheme="majorHAnsi" w:cstheme="majorHAnsi"/>
          <w:color w:val="000000"/>
          <w:sz w:val="24"/>
          <w:szCs w:val="24"/>
          <w:lang w:eastAsia="fr-FR"/>
        </w:rPr>
        <w:t>s</w:t>
      </w:r>
      <w:r w:rsidRPr="0041012B">
        <w:rPr>
          <w:rFonts w:asciiTheme="majorHAnsi" w:eastAsia="Times New Roman" w:hAnsiTheme="majorHAnsi" w:cstheme="majorHAnsi"/>
          <w:color w:val="000000"/>
          <w:sz w:val="24"/>
          <w:szCs w:val="24"/>
          <w:lang w:eastAsia="fr-FR"/>
        </w:rPr>
        <w:t xml:space="preserve"> :</w:t>
      </w:r>
    </w:p>
    <w:p w14:paraId="634D2E68"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 xml:space="preserve">    De plus en plus d'écoles de commerce et d'universités mettent en place des salles de marché virtuelles pour offrir à leurs étudiants une expérience pratique du trading et de l'investissement. Ces environnements simulés reproduisent les conditions réelles des marchés financiers, permettant aux étudiants de s’immerger dans un cadre proche de celui des professionnels de la finance. Ces outils permettent aux étudiants de mettre en pratique leurs connaissances théoriques en finance, de développer des compétences en analyse financière et en prise de décision, et de comprendre les risques associés au trading et à l'investissement, le tout dans un environnement contrôlé et sécurisé. </w:t>
      </w:r>
      <w:r w:rsidR="009F126C">
        <w:rPr>
          <w:rFonts w:asciiTheme="majorHAnsi" w:eastAsia="Times New Roman" w:hAnsiTheme="majorHAnsi" w:cstheme="majorHAnsi"/>
          <w:color w:val="000000"/>
          <w:sz w:val="24"/>
          <w:szCs w:val="24"/>
          <w:lang w:eastAsia="fr-FR"/>
        </w:rPr>
        <w:t>Ils peuvent ainsi d’avantage</w:t>
      </w:r>
      <w:r w:rsidRPr="0041012B">
        <w:rPr>
          <w:rFonts w:asciiTheme="majorHAnsi" w:eastAsia="Times New Roman" w:hAnsiTheme="majorHAnsi" w:cstheme="majorHAnsi"/>
          <w:color w:val="000000"/>
          <w:sz w:val="24"/>
          <w:szCs w:val="24"/>
          <w:lang w:eastAsia="fr-FR"/>
        </w:rPr>
        <w:t xml:space="preserve"> appréhender les </w:t>
      </w:r>
      <w:r w:rsidRPr="0041012B">
        <w:rPr>
          <w:rFonts w:asciiTheme="majorHAnsi" w:eastAsia="Times New Roman" w:hAnsiTheme="majorHAnsi" w:cstheme="majorHAnsi"/>
          <w:color w:val="000000"/>
          <w:sz w:val="24"/>
          <w:szCs w:val="24"/>
          <w:lang w:eastAsia="fr-FR"/>
        </w:rPr>
        <w:lastRenderedPageBreak/>
        <w:t>fluctuations des marchés et de se préparer efficacement à des carrières dans le secteur financier.</w:t>
      </w:r>
    </w:p>
    <w:p w14:paraId="22FA2493"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p>
    <w:p w14:paraId="7159D83E" w14:textId="77777777" w:rsidR="0041012B" w:rsidRPr="0041012B" w:rsidRDefault="0041012B" w:rsidP="006749D8">
      <w:pPr>
        <w:spacing w:line="276" w:lineRule="auto"/>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 xml:space="preserve">La Faculté d’Économie et de gestion (FEG) a pour objectif d’offrir à ses étudiants un </w:t>
      </w:r>
      <w:r w:rsidR="006148AD">
        <w:rPr>
          <w:rFonts w:asciiTheme="majorHAnsi" w:eastAsia="Times New Roman" w:hAnsiTheme="majorHAnsi" w:cstheme="majorHAnsi"/>
          <w:color w:val="000000"/>
          <w:sz w:val="24"/>
          <w:szCs w:val="24"/>
          <w:lang w:eastAsia="fr-FR"/>
        </w:rPr>
        <w:t xml:space="preserve">tel </w:t>
      </w:r>
      <w:r w:rsidRPr="0041012B">
        <w:rPr>
          <w:rFonts w:asciiTheme="majorHAnsi" w:eastAsia="Times New Roman" w:hAnsiTheme="majorHAnsi" w:cstheme="majorHAnsi"/>
          <w:color w:val="000000"/>
          <w:sz w:val="24"/>
          <w:szCs w:val="24"/>
          <w:lang w:eastAsia="fr-FR"/>
        </w:rPr>
        <w:t xml:space="preserve">environnement physique qui reproduise les conditions dans lesquelles les traders professionnels opèrent sur les marchés financiers. Dans cette optique, la FEG souhaite </w:t>
      </w:r>
      <w:r w:rsidR="006148AD">
        <w:rPr>
          <w:rFonts w:asciiTheme="majorHAnsi" w:eastAsia="Times New Roman" w:hAnsiTheme="majorHAnsi" w:cstheme="majorHAnsi"/>
          <w:color w:val="000000"/>
          <w:sz w:val="24"/>
          <w:szCs w:val="24"/>
          <w:lang w:eastAsia="fr-FR"/>
        </w:rPr>
        <w:t>installer</w:t>
      </w:r>
      <w:r w:rsidRPr="0041012B">
        <w:rPr>
          <w:rFonts w:asciiTheme="majorHAnsi" w:eastAsia="Times New Roman" w:hAnsiTheme="majorHAnsi" w:cstheme="majorHAnsi"/>
          <w:color w:val="000000"/>
          <w:sz w:val="24"/>
          <w:szCs w:val="24"/>
          <w:lang w:eastAsia="fr-FR"/>
        </w:rPr>
        <w:t xml:space="preserve"> une salle de</w:t>
      </w:r>
      <w:r w:rsidR="00B7612B">
        <w:rPr>
          <w:rFonts w:asciiTheme="majorHAnsi" w:eastAsia="Times New Roman" w:hAnsiTheme="majorHAnsi" w:cstheme="majorHAnsi"/>
          <w:color w:val="000000"/>
          <w:sz w:val="24"/>
          <w:szCs w:val="24"/>
          <w:lang w:eastAsia="fr-FR"/>
        </w:rPr>
        <w:t>s</w:t>
      </w:r>
      <w:r w:rsidRPr="0041012B">
        <w:rPr>
          <w:rFonts w:asciiTheme="majorHAnsi" w:eastAsia="Times New Roman" w:hAnsiTheme="majorHAnsi" w:cstheme="majorHAnsi"/>
          <w:color w:val="000000"/>
          <w:sz w:val="24"/>
          <w:szCs w:val="24"/>
          <w:lang w:eastAsia="fr-FR"/>
        </w:rPr>
        <w:t xml:space="preserve"> marché</w:t>
      </w:r>
      <w:r w:rsidR="00B7612B">
        <w:rPr>
          <w:rFonts w:asciiTheme="majorHAnsi" w:eastAsia="Times New Roman" w:hAnsiTheme="majorHAnsi" w:cstheme="majorHAnsi"/>
          <w:color w:val="000000"/>
          <w:sz w:val="24"/>
          <w:szCs w:val="24"/>
          <w:lang w:eastAsia="fr-FR"/>
        </w:rPr>
        <w:t>s</w:t>
      </w:r>
      <w:r w:rsidRPr="0041012B">
        <w:rPr>
          <w:rFonts w:asciiTheme="majorHAnsi" w:eastAsia="Times New Roman" w:hAnsiTheme="majorHAnsi" w:cstheme="majorHAnsi"/>
          <w:color w:val="000000"/>
          <w:sz w:val="24"/>
          <w:szCs w:val="24"/>
          <w:lang w:eastAsia="fr-FR"/>
        </w:rPr>
        <w:t xml:space="preserve"> virtuelle au sein de l'université. Cet outil pédagogique innovant permettra aux étudiants de vivre une expérience pratique du trading et de l'investissement dans un environnement simulé. En utilisant des plateformes de trading virtuelles, les étudiants pourront prendre des décisions en temps réel, analyser des données financières, et développer des compétences pratiques dans la gestion des risques et l'élaboration de stratégies d'investissement</w:t>
      </w:r>
      <w:r w:rsidR="009F126C">
        <w:rPr>
          <w:rFonts w:asciiTheme="majorHAnsi" w:eastAsia="Times New Roman" w:hAnsiTheme="majorHAnsi" w:cstheme="majorHAnsi"/>
          <w:color w:val="000000"/>
          <w:sz w:val="24"/>
          <w:szCs w:val="24"/>
          <w:lang w:eastAsia="fr-FR"/>
        </w:rPr>
        <w:t>.</w:t>
      </w:r>
    </w:p>
    <w:p w14:paraId="1EC9AF3F"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p>
    <w:p w14:paraId="3A54CCF1"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Généralités</w:t>
      </w:r>
    </w:p>
    <w:p w14:paraId="62471736" w14:textId="77777777" w:rsidR="005901D0" w:rsidRDefault="00263413" w:rsidP="00523B08">
      <w:pPr>
        <w:pStyle w:val="NormalWeb"/>
        <w:spacing w:before="0" w:beforeAutospacing="0" w:after="160" w:afterAutospacing="0" w:line="276" w:lineRule="auto"/>
        <w:jc w:val="both"/>
        <w:rPr>
          <w:rFonts w:asciiTheme="majorHAnsi" w:hAnsiTheme="majorHAnsi" w:cstheme="majorHAnsi"/>
          <w:color w:val="000000"/>
        </w:rPr>
      </w:pPr>
      <w:r w:rsidRPr="00B36A2E">
        <w:rPr>
          <w:rFonts w:asciiTheme="majorHAnsi" w:hAnsiTheme="majorHAnsi" w:cstheme="majorHAnsi"/>
          <w:color w:val="000000"/>
        </w:rPr>
        <w:t>Le présent marché a pour objet l</w:t>
      </w:r>
      <w:r w:rsidR="00F94052">
        <w:rPr>
          <w:rFonts w:asciiTheme="majorHAnsi" w:hAnsiTheme="majorHAnsi" w:cstheme="majorHAnsi"/>
          <w:color w:val="000000"/>
        </w:rPr>
        <w:t> ‘équipement</w:t>
      </w:r>
      <w:r w:rsidRPr="00B36A2E">
        <w:rPr>
          <w:rFonts w:asciiTheme="majorHAnsi" w:hAnsiTheme="majorHAnsi" w:cstheme="majorHAnsi"/>
          <w:color w:val="000000"/>
        </w:rPr>
        <w:t xml:space="preserve"> d’une salle de</w:t>
      </w:r>
      <w:r w:rsidR="00B7612B">
        <w:rPr>
          <w:rFonts w:asciiTheme="majorHAnsi" w:hAnsiTheme="majorHAnsi" w:cstheme="majorHAnsi"/>
          <w:color w:val="000000"/>
        </w:rPr>
        <w:t>s</w:t>
      </w:r>
      <w:r w:rsidRPr="00B36A2E">
        <w:rPr>
          <w:rFonts w:asciiTheme="majorHAnsi" w:hAnsiTheme="majorHAnsi" w:cstheme="majorHAnsi"/>
          <w:color w:val="000000"/>
        </w:rPr>
        <w:t xml:space="preserve"> marché</w:t>
      </w:r>
      <w:r w:rsidR="00B7612B">
        <w:rPr>
          <w:rFonts w:asciiTheme="majorHAnsi" w:hAnsiTheme="majorHAnsi" w:cstheme="majorHAnsi"/>
          <w:color w:val="000000"/>
        </w:rPr>
        <w:t>s</w:t>
      </w:r>
      <w:r w:rsidRPr="00B36A2E">
        <w:rPr>
          <w:rFonts w:asciiTheme="majorHAnsi" w:hAnsiTheme="majorHAnsi" w:cstheme="majorHAnsi"/>
          <w:color w:val="000000"/>
        </w:rPr>
        <w:t xml:space="preserve"> </w:t>
      </w:r>
      <w:r w:rsidR="00D67836">
        <w:rPr>
          <w:rFonts w:asciiTheme="majorHAnsi" w:hAnsiTheme="majorHAnsi" w:cstheme="majorHAnsi"/>
          <w:color w:val="000000"/>
        </w:rPr>
        <w:t xml:space="preserve">physique </w:t>
      </w:r>
      <w:r w:rsidRPr="00B36A2E">
        <w:rPr>
          <w:rFonts w:asciiTheme="majorHAnsi" w:hAnsiTheme="majorHAnsi" w:cstheme="majorHAnsi"/>
          <w:color w:val="000000"/>
        </w:rPr>
        <w:t xml:space="preserve">sur l’éco campus de la </w:t>
      </w:r>
      <w:proofErr w:type="spellStart"/>
      <w:r w:rsidRPr="00B36A2E">
        <w:rPr>
          <w:rFonts w:asciiTheme="majorHAnsi" w:hAnsiTheme="majorHAnsi" w:cstheme="majorHAnsi"/>
          <w:color w:val="000000"/>
        </w:rPr>
        <w:t>Pauliane</w:t>
      </w:r>
      <w:proofErr w:type="spellEnd"/>
      <w:r w:rsidRPr="00B36A2E">
        <w:rPr>
          <w:rFonts w:asciiTheme="majorHAnsi" w:hAnsiTheme="majorHAnsi" w:cstheme="majorHAnsi"/>
          <w:color w:val="000000"/>
        </w:rPr>
        <w:t>, à Aix-en-Provence</w:t>
      </w:r>
      <w:r w:rsidR="00F94052">
        <w:rPr>
          <w:rFonts w:asciiTheme="majorHAnsi" w:hAnsiTheme="majorHAnsi" w:cstheme="majorHAnsi"/>
          <w:color w:val="000000"/>
        </w:rPr>
        <w:t>. Cette</w:t>
      </w:r>
      <w:r w:rsidR="00F94052" w:rsidRPr="00B36A2E">
        <w:rPr>
          <w:rFonts w:asciiTheme="majorHAnsi" w:hAnsiTheme="majorHAnsi" w:cstheme="majorHAnsi"/>
          <w:color w:val="000000"/>
        </w:rPr>
        <w:t xml:space="preserve"> salle </w:t>
      </w:r>
      <w:r w:rsidR="005901D0">
        <w:rPr>
          <w:rFonts w:asciiTheme="majorHAnsi" w:hAnsiTheme="majorHAnsi" w:cstheme="majorHAnsi"/>
          <w:color w:val="000000"/>
        </w:rPr>
        <w:t>comportera</w:t>
      </w:r>
      <w:r w:rsidR="00F94052" w:rsidRPr="00B36A2E">
        <w:rPr>
          <w:rFonts w:asciiTheme="majorHAnsi" w:hAnsiTheme="majorHAnsi" w:cstheme="majorHAnsi"/>
          <w:color w:val="000000"/>
        </w:rPr>
        <w:t xml:space="preserve"> </w:t>
      </w:r>
      <w:r w:rsidR="00D255A1">
        <w:rPr>
          <w:rFonts w:asciiTheme="majorHAnsi" w:hAnsiTheme="majorHAnsi" w:cstheme="majorHAnsi"/>
          <w:color w:val="000000"/>
        </w:rPr>
        <w:t>12</w:t>
      </w:r>
      <w:r w:rsidR="00D255A1" w:rsidRPr="00B36A2E">
        <w:rPr>
          <w:rFonts w:asciiTheme="majorHAnsi" w:hAnsiTheme="majorHAnsi" w:cstheme="majorHAnsi"/>
          <w:color w:val="000000"/>
        </w:rPr>
        <w:t xml:space="preserve"> </w:t>
      </w:r>
      <w:r w:rsidR="00F94052" w:rsidRPr="00B36A2E">
        <w:rPr>
          <w:rFonts w:asciiTheme="majorHAnsi" w:hAnsiTheme="majorHAnsi" w:cstheme="majorHAnsi"/>
          <w:color w:val="000000"/>
        </w:rPr>
        <w:t>postes (=ordinateurs= terminaux)</w:t>
      </w:r>
      <w:r w:rsidR="005901D0">
        <w:rPr>
          <w:rFonts w:asciiTheme="majorHAnsi" w:hAnsiTheme="majorHAnsi" w:cstheme="majorHAnsi"/>
          <w:color w:val="000000"/>
        </w:rPr>
        <w:t xml:space="preserve"> préalablement installés</w:t>
      </w:r>
      <w:r w:rsidR="00F94052" w:rsidRPr="00B36A2E">
        <w:rPr>
          <w:rFonts w:asciiTheme="majorHAnsi" w:hAnsiTheme="majorHAnsi" w:cstheme="majorHAnsi"/>
          <w:color w:val="000000"/>
        </w:rPr>
        <w:t>.</w:t>
      </w:r>
    </w:p>
    <w:p w14:paraId="5C524E67" w14:textId="77777777" w:rsidR="00F94052" w:rsidRDefault="00F94052" w:rsidP="00523B08">
      <w:pPr>
        <w:pStyle w:val="NormalWeb"/>
        <w:spacing w:before="0" w:beforeAutospacing="0" w:after="160" w:afterAutospacing="0" w:line="276" w:lineRule="auto"/>
        <w:jc w:val="both"/>
        <w:rPr>
          <w:rFonts w:asciiTheme="majorHAnsi" w:hAnsiTheme="majorHAnsi" w:cstheme="majorHAnsi"/>
          <w:color w:val="000000"/>
        </w:rPr>
      </w:pPr>
      <w:r>
        <w:rPr>
          <w:rFonts w:asciiTheme="majorHAnsi" w:hAnsiTheme="majorHAnsi" w:cstheme="majorHAnsi"/>
          <w:color w:val="000000"/>
        </w:rPr>
        <w:t>Elle</w:t>
      </w:r>
      <w:r w:rsidR="00263413" w:rsidRPr="00B36A2E">
        <w:rPr>
          <w:rFonts w:asciiTheme="majorHAnsi" w:hAnsiTheme="majorHAnsi" w:cstheme="majorHAnsi"/>
          <w:color w:val="000000"/>
        </w:rPr>
        <w:t xml:space="preserve"> devra être équipée d’une plateforme en ligne permettant aux étudiants d'accéder à des données de marché en temps réel et de simuler des transactions sur différents actifs financiers, tout en utilisant de l'argent virtuel</w:t>
      </w:r>
      <w:r w:rsidRPr="00B36A2E">
        <w:rPr>
          <w:rFonts w:asciiTheme="majorHAnsi" w:hAnsiTheme="majorHAnsi" w:cstheme="majorHAnsi"/>
          <w:color w:val="000000"/>
        </w:rPr>
        <w:t>.</w:t>
      </w:r>
    </w:p>
    <w:p w14:paraId="5C96B2D0" w14:textId="77777777" w:rsidR="00523B08" w:rsidRDefault="00263413" w:rsidP="00D67836">
      <w:pPr>
        <w:pStyle w:val="NormalWeb"/>
        <w:spacing w:before="0" w:beforeAutospacing="0" w:after="160" w:afterAutospacing="0" w:line="276" w:lineRule="auto"/>
        <w:jc w:val="both"/>
        <w:rPr>
          <w:rFonts w:asciiTheme="majorHAnsi" w:hAnsiTheme="majorHAnsi" w:cstheme="majorHAnsi"/>
          <w:color w:val="000000"/>
        </w:rPr>
      </w:pPr>
      <w:r w:rsidRPr="00B36A2E">
        <w:rPr>
          <w:rFonts w:asciiTheme="majorHAnsi" w:hAnsiTheme="majorHAnsi" w:cstheme="majorHAnsi"/>
          <w:color w:val="000000"/>
        </w:rPr>
        <w:t>Le besoin se compose d’un logiciel sur étagère en mode SAAS composé d</w:t>
      </w:r>
      <w:r w:rsidR="00D67836">
        <w:rPr>
          <w:rFonts w:asciiTheme="majorHAnsi" w:hAnsiTheme="majorHAnsi" w:cstheme="majorHAnsi"/>
          <w:color w:val="000000"/>
        </w:rPr>
        <w:t>u nombre de</w:t>
      </w:r>
      <w:r w:rsidRPr="00B36A2E">
        <w:rPr>
          <w:rFonts w:asciiTheme="majorHAnsi" w:hAnsiTheme="majorHAnsi" w:cstheme="majorHAnsi"/>
          <w:color w:val="000000"/>
        </w:rPr>
        <w:t xml:space="preserve"> licences évolutives </w:t>
      </w:r>
      <w:r w:rsidR="00D67836">
        <w:rPr>
          <w:rFonts w:asciiTheme="majorHAnsi" w:hAnsiTheme="majorHAnsi" w:cstheme="majorHAnsi"/>
          <w:color w:val="000000"/>
        </w:rPr>
        <w:t xml:space="preserve">permettant d’utiliser simultanément les </w:t>
      </w:r>
      <w:r w:rsidR="00D255A1">
        <w:rPr>
          <w:rFonts w:asciiTheme="majorHAnsi" w:hAnsiTheme="majorHAnsi" w:cstheme="majorHAnsi"/>
          <w:color w:val="000000"/>
        </w:rPr>
        <w:t xml:space="preserve">12 </w:t>
      </w:r>
      <w:r w:rsidR="00D67836">
        <w:rPr>
          <w:rFonts w:asciiTheme="majorHAnsi" w:hAnsiTheme="majorHAnsi" w:cstheme="majorHAnsi"/>
          <w:color w:val="000000"/>
        </w:rPr>
        <w:t xml:space="preserve">postes de travail. Ces licences seront </w:t>
      </w:r>
      <w:r w:rsidRPr="00B36A2E">
        <w:rPr>
          <w:rFonts w:asciiTheme="majorHAnsi" w:hAnsiTheme="majorHAnsi" w:cstheme="majorHAnsi"/>
          <w:color w:val="000000"/>
        </w:rPr>
        <w:t>rattaché</w:t>
      </w:r>
      <w:r w:rsidR="00B36A2E" w:rsidRPr="00B36A2E">
        <w:rPr>
          <w:rFonts w:asciiTheme="majorHAnsi" w:hAnsiTheme="majorHAnsi" w:cstheme="majorHAnsi"/>
          <w:color w:val="000000"/>
        </w:rPr>
        <w:t>es</w:t>
      </w:r>
      <w:r w:rsidRPr="00B36A2E">
        <w:rPr>
          <w:rFonts w:asciiTheme="majorHAnsi" w:hAnsiTheme="majorHAnsi" w:cstheme="majorHAnsi"/>
          <w:color w:val="000000"/>
        </w:rPr>
        <w:t xml:space="preserve"> à un compte d’accès unique pour toutes les licences</w:t>
      </w:r>
      <w:r w:rsidR="00F94052">
        <w:rPr>
          <w:rFonts w:asciiTheme="majorHAnsi" w:hAnsiTheme="majorHAnsi" w:cstheme="majorHAnsi"/>
          <w:color w:val="000000"/>
        </w:rPr>
        <w:t xml:space="preserve">. </w:t>
      </w:r>
      <w:r w:rsidR="00D67836">
        <w:rPr>
          <w:rFonts w:asciiTheme="majorHAnsi" w:hAnsiTheme="majorHAnsi" w:cstheme="majorHAnsi"/>
          <w:color w:val="000000"/>
        </w:rPr>
        <w:t>Le besoin comporte</w:t>
      </w:r>
      <w:r w:rsidR="00F94052">
        <w:rPr>
          <w:rFonts w:asciiTheme="majorHAnsi" w:hAnsiTheme="majorHAnsi" w:cstheme="majorHAnsi"/>
          <w:color w:val="000000"/>
        </w:rPr>
        <w:t xml:space="preserve"> également de</w:t>
      </w:r>
      <w:r w:rsidR="00D67836">
        <w:rPr>
          <w:rFonts w:asciiTheme="majorHAnsi" w:hAnsiTheme="majorHAnsi" w:cstheme="majorHAnsi"/>
          <w:color w:val="000000"/>
        </w:rPr>
        <w:t>s</w:t>
      </w:r>
      <w:r w:rsidRPr="00B36A2E">
        <w:rPr>
          <w:rFonts w:asciiTheme="majorHAnsi" w:hAnsiTheme="majorHAnsi" w:cstheme="majorHAnsi"/>
          <w:color w:val="000000"/>
        </w:rPr>
        <w:t xml:space="preserve"> formations (accès aux guides et supports en ligne) </w:t>
      </w:r>
      <w:r w:rsidR="00F94052">
        <w:rPr>
          <w:rFonts w:asciiTheme="majorHAnsi" w:hAnsiTheme="majorHAnsi" w:cstheme="majorHAnsi"/>
          <w:color w:val="000000"/>
        </w:rPr>
        <w:t>ainsi que de</w:t>
      </w:r>
      <w:r w:rsidR="00D67836">
        <w:rPr>
          <w:rFonts w:asciiTheme="majorHAnsi" w:hAnsiTheme="majorHAnsi" w:cstheme="majorHAnsi"/>
          <w:color w:val="000000"/>
        </w:rPr>
        <w:t>s</w:t>
      </w:r>
      <w:r w:rsidR="00F94052">
        <w:rPr>
          <w:rFonts w:asciiTheme="majorHAnsi" w:hAnsiTheme="majorHAnsi" w:cstheme="majorHAnsi"/>
          <w:color w:val="000000"/>
        </w:rPr>
        <w:t xml:space="preserve"> </w:t>
      </w:r>
      <w:r w:rsidRPr="00B36A2E">
        <w:rPr>
          <w:rFonts w:asciiTheme="majorHAnsi" w:hAnsiTheme="majorHAnsi" w:cstheme="majorHAnsi"/>
          <w:color w:val="000000"/>
        </w:rPr>
        <w:t xml:space="preserve">maintenances préventives, correctives et évolutives </w:t>
      </w:r>
      <w:r w:rsidR="00F94052">
        <w:rPr>
          <w:rFonts w:asciiTheme="majorHAnsi" w:hAnsiTheme="majorHAnsi" w:cstheme="majorHAnsi"/>
          <w:color w:val="000000"/>
        </w:rPr>
        <w:t>avec</w:t>
      </w:r>
      <w:r w:rsidR="00F94052" w:rsidRPr="00B36A2E">
        <w:rPr>
          <w:rFonts w:asciiTheme="majorHAnsi" w:hAnsiTheme="majorHAnsi" w:cstheme="majorHAnsi"/>
          <w:color w:val="000000"/>
        </w:rPr>
        <w:t xml:space="preserve"> </w:t>
      </w:r>
      <w:r w:rsidRPr="00B36A2E">
        <w:rPr>
          <w:rFonts w:asciiTheme="majorHAnsi" w:hAnsiTheme="majorHAnsi" w:cstheme="majorHAnsi"/>
          <w:color w:val="000000"/>
        </w:rPr>
        <w:t>mises à jour comprises</w:t>
      </w:r>
      <w:r w:rsidR="00F94052">
        <w:rPr>
          <w:rFonts w:asciiTheme="majorHAnsi" w:hAnsiTheme="majorHAnsi" w:cstheme="majorHAnsi"/>
          <w:color w:val="000000"/>
        </w:rPr>
        <w:t>.</w:t>
      </w:r>
    </w:p>
    <w:p w14:paraId="1C56B6E6" w14:textId="77777777" w:rsidR="00263413" w:rsidRPr="00B36A2E" w:rsidRDefault="00263413" w:rsidP="006749D8">
      <w:pPr>
        <w:suppressAutoHyphens/>
        <w:spacing w:after="0" w:line="276" w:lineRule="auto"/>
        <w:jc w:val="both"/>
        <w:rPr>
          <w:rFonts w:asciiTheme="majorHAnsi" w:eastAsia="Times New Roman" w:hAnsiTheme="majorHAnsi" w:cstheme="majorHAnsi"/>
          <w:color w:val="000000"/>
          <w:sz w:val="24"/>
          <w:szCs w:val="24"/>
          <w:lang w:eastAsia="fr-FR"/>
        </w:rPr>
      </w:pPr>
    </w:p>
    <w:p w14:paraId="45B34728" w14:textId="77777777" w:rsidR="0041012B" w:rsidRPr="0041012B" w:rsidRDefault="0041012B" w:rsidP="006749D8">
      <w:pPr>
        <w:spacing w:line="276" w:lineRule="auto"/>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La salle est prévue pour environ 300 utilisateurs la première année.</w:t>
      </w:r>
    </w:p>
    <w:p w14:paraId="09BDACD1"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p>
    <w:p w14:paraId="4C9B74E3" w14:textId="77777777" w:rsidR="0041012B" w:rsidRPr="0041012B" w:rsidRDefault="0041012B" w:rsidP="00EB1F7A">
      <w:pPr>
        <w:pStyle w:val="Titre1"/>
        <w:rPr>
          <w:rFonts w:eastAsia="Times New Roman"/>
          <w:lang w:eastAsia="fr-FR"/>
        </w:rPr>
      </w:pPr>
      <w:bookmarkStart w:id="1" w:name="_Toc192172658"/>
      <w:r w:rsidRPr="0041012B">
        <w:rPr>
          <w:rFonts w:eastAsia="Times New Roman"/>
          <w:lang w:eastAsia="fr-FR"/>
        </w:rPr>
        <w:t>Descriptions des prestations</w:t>
      </w:r>
      <w:bookmarkEnd w:id="1"/>
    </w:p>
    <w:p w14:paraId="02E013B1" w14:textId="77777777" w:rsidR="00EB1F7A" w:rsidRDefault="00EB1F7A" w:rsidP="0041012B">
      <w:pPr>
        <w:jc w:val="both"/>
        <w:rPr>
          <w:rFonts w:asciiTheme="majorHAnsi" w:eastAsia="Times New Roman" w:hAnsiTheme="majorHAnsi" w:cstheme="majorHAnsi"/>
          <w:color w:val="000000"/>
          <w:sz w:val="24"/>
          <w:szCs w:val="24"/>
          <w:lang w:eastAsia="fr-FR"/>
        </w:rPr>
      </w:pPr>
    </w:p>
    <w:p w14:paraId="69601E01" w14:textId="77777777" w:rsid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La salle des marchés devra être une plateforme en ligne permettant aux étudiants d'accéder à des données de marché en temps réel et de simuler des transactions sur différents actifs financiers, tout en utilisant de l'argent virtuel.</w:t>
      </w:r>
    </w:p>
    <w:p w14:paraId="276BE8C1" w14:textId="77777777" w:rsidR="00C42C27" w:rsidRPr="0041012B" w:rsidRDefault="00C42C27" w:rsidP="0041012B">
      <w:pPr>
        <w:jc w:val="both"/>
        <w:rPr>
          <w:rFonts w:asciiTheme="majorHAnsi" w:eastAsia="Times New Roman" w:hAnsiTheme="majorHAnsi" w:cstheme="majorHAnsi"/>
          <w:color w:val="000000"/>
          <w:sz w:val="24"/>
          <w:szCs w:val="24"/>
          <w:lang w:eastAsia="fr-FR"/>
        </w:rPr>
      </w:pPr>
    </w:p>
    <w:p w14:paraId="71CCFD2A" w14:textId="77777777" w:rsidR="00C42C27" w:rsidRPr="00A80646" w:rsidRDefault="0041012B" w:rsidP="006749D8">
      <w:pPr>
        <w:pStyle w:val="Titre2"/>
        <w:spacing w:line="276" w:lineRule="auto"/>
        <w:rPr>
          <w:rFonts w:eastAsia="Times New Roman"/>
          <w:lang w:eastAsia="fr-FR"/>
        </w:rPr>
      </w:pPr>
      <w:bookmarkStart w:id="2" w:name="_Toc192172659"/>
      <w:r w:rsidRPr="0041012B">
        <w:rPr>
          <w:rFonts w:eastAsia="Times New Roman"/>
          <w:lang w:eastAsia="fr-FR"/>
        </w:rPr>
        <w:t>Livrables attendus</w:t>
      </w:r>
      <w:bookmarkEnd w:id="2"/>
    </w:p>
    <w:p w14:paraId="60193848" w14:textId="77777777" w:rsidR="006749D8" w:rsidRDefault="0041012B" w:rsidP="006749D8">
      <w:pPr>
        <w:spacing w:line="276" w:lineRule="auto"/>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 xml:space="preserve">Installation et configuration de la salle des marchés </w:t>
      </w:r>
      <w:proofErr w:type="spellStart"/>
      <w:r w:rsidRPr="0041012B">
        <w:rPr>
          <w:rFonts w:asciiTheme="majorHAnsi" w:eastAsia="Times New Roman" w:hAnsiTheme="majorHAnsi" w:cstheme="majorHAnsi"/>
          <w:color w:val="000000"/>
          <w:sz w:val="24"/>
          <w:szCs w:val="24"/>
          <w:lang w:eastAsia="fr-FR"/>
        </w:rPr>
        <w:t>amU</w:t>
      </w:r>
      <w:proofErr w:type="spellEnd"/>
      <w:r w:rsidRPr="0041012B">
        <w:rPr>
          <w:rFonts w:asciiTheme="majorHAnsi" w:eastAsia="Times New Roman" w:hAnsiTheme="majorHAnsi" w:cstheme="majorHAnsi"/>
          <w:color w:val="000000"/>
          <w:sz w:val="24"/>
          <w:szCs w:val="24"/>
          <w:lang w:eastAsia="fr-FR"/>
        </w:rPr>
        <w:t xml:space="preserve"> </w:t>
      </w:r>
      <w:r w:rsidR="005D7DBB">
        <w:rPr>
          <w:rFonts w:asciiTheme="majorHAnsi" w:eastAsia="Times New Roman" w:hAnsiTheme="majorHAnsi" w:cstheme="majorHAnsi"/>
          <w:color w:val="000000"/>
          <w:sz w:val="24"/>
          <w:szCs w:val="24"/>
          <w:lang w:eastAsia="fr-FR"/>
        </w:rPr>
        <w:t xml:space="preserve"> et</w:t>
      </w:r>
      <w:r w:rsidRPr="0041012B">
        <w:rPr>
          <w:rFonts w:asciiTheme="majorHAnsi" w:eastAsia="Times New Roman" w:hAnsiTheme="majorHAnsi" w:cstheme="majorHAnsi"/>
          <w:color w:val="000000"/>
          <w:sz w:val="24"/>
          <w:szCs w:val="24"/>
          <w:lang w:eastAsia="fr-FR"/>
        </w:rPr>
        <w:t xml:space="preserve"> licences</w:t>
      </w:r>
      <w:r w:rsidR="005D7DBB">
        <w:rPr>
          <w:rFonts w:asciiTheme="majorHAnsi" w:eastAsia="Times New Roman" w:hAnsiTheme="majorHAnsi" w:cstheme="majorHAnsi"/>
          <w:color w:val="000000"/>
          <w:sz w:val="24"/>
          <w:szCs w:val="24"/>
          <w:lang w:eastAsia="fr-FR"/>
        </w:rPr>
        <w:t>.</w:t>
      </w:r>
    </w:p>
    <w:p w14:paraId="4290FE18" w14:textId="77777777" w:rsidR="0041012B" w:rsidRDefault="0041012B" w:rsidP="006749D8">
      <w:pPr>
        <w:spacing w:line="276" w:lineRule="auto"/>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 xml:space="preserve">Le nombre de licences devra être de 12 postes (=ordinateurs= terminaux) </w:t>
      </w:r>
    </w:p>
    <w:p w14:paraId="4F70B3B0" w14:textId="77777777" w:rsidR="00C42C27" w:rsidRPr="0041012B" w:rsidRDefault="00C42C27" w:rsidP="0041012B">
      <w:pPr>
        <w:jc w:val="both"/>
        <w:rPr>
          <w:rFonts w:asciiTheme="majorHAnsi" w:eastAsia="Times New Roman" w:hAnsiTheme="majorHAnsi" w:cstheme="majorHAnsi"/>
          <w:color w:val="000000"/>
          <w:sz w:val="24"/>
          <w:szCs w:val="24"/>
          <w:lang w:eastAsia="fr-FR"/>
        </w:rPr>
      </w:pPr>
    </w:p>
    <w:p w14:paraId="31AA4007" w14:textId="77777777" w:rsidR="00C42C27" w:rsidRDefault="0041012B" w:rsidP="00A80646">
      <w:pPr>
        <w:pStyle w:val="Titre2"/>
        <w:rPr>
          <w:rFonts w:eastAsia="Times New Roman"/>
          <w:lang w:eastAsia="fr-FR"/>
        </w:rPr>
      </w:pPr>
      <w:bookmarkStart w:id="3" w:name="_Toc192172660"/>
      <w:r w:rsidRPr="0041012B">
        <w:rPr>
          <w:rFonts w:eastAsia="Times New Roman"/>
          <w:lang w:eastAsia="fr-FR"/>
        </w:rPr>
        <w:t xml:space="preserve">Descriptif du type de licences </w:t>
      </w:r>
      <w:r w:rsidR="009D63B7">
        <w:rPr>
          <w:rFonts w:eastAsia="Times New Roman"/>
          <w:lang w:eastAsia="fr-FR"/>
        </w:rPr>
        <w:t>de salle de</w:t>
      </w:r>
      <w:r w:rsidR="00B7612B">
        <w:rPr>
          <w:rFonts w:eastAsia="Times New Roman"/>
          <w:lang w:eastAsia="fr-FR"/>
        </w:rPr>
        <w:t>s</w:t>
      </w:r>
      <w:r w:rsidR="009D63B7">
        <w:rPr>
          <w:rFonts w:eastAsia="Times New Roman"/>
          <w:lang w:eastAsia="fr-FR"/>
        </w:rPr>
        <w:t xml:space="preserve"> marchés</w:t>
      </w:r>
      <w:r w:rsidRPr="0041012B">
        <w:rPr>
          <w:rFonts w:eastAsia="Times New Roman"/>
          <w:lang w:eastAsia="fr-FR"/>
        </w:rPr>
        <w:t>, fonctionnalités requises</w:t>
      </w:r>
      <w:bookmarkEnd w:id="3"/>
    </w:p>
    <w:p w14:paraId="6B672541" w14:textId="77777777" w:rsidR="009A793B" w:rsidRPr="009A793B" w:rsidRDefault="009A793B" w:rsidP="009A793B">
      <w:pPr>
        <w:rPr>
          <w:lang w:eastAsia="fr-FR"/>
        </w:rPr>
      </w:pPr>
    </w:p>
    <w:p w14:paraId="6F0D3136"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 xml:space="preserve">Accès sécurisé pour les étudiants et les enseignants </w:t>
      </w:r>
    </w:p>
    <w:p w14:paraId="6825D588"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Affichage des cours en temps réel pour</w:t>
      </w:r>
      <w:r w:rsidR="00B97C2F">
        <w:rPr>
          <w:rFonts w:asciiTheme="majorHAnsi" w:eastAsia="Times New Roman" w:hAnsiTheme="majorHAnsi" w:cstheme="majorHAnsi"/>
          <w:color w:val="000000"/>
          <w:sz w:val="24"/>
          <w:szCs w:val="24"/>
          <w:lang w:eastAsia="fr-FR"/>
        </w:rPr>
        <w:t xml:space="preserve"> tous les actifs financiers côtés (</w:t>
      </w:r>
      <w:r w:rsidRPr="0041012B">
        <w:rPr>
          <w:rFonts w:asciiTheme="majorHAnsi" w:eastAsia="Times New Roman" w:hAnsiTheme="majorHAnsi" w:cstheme="majorHAnsi"/>
          <w:color w:val="000000"/>
          <w:sz w:val="24"/>
          <w:szCs w:val="24"/>
          <w:lang w:eastAsia="fr-FR"/>
        </w:rPr>
        <w:t>actions, devises, obligations</w:t>
      </w:r>
      <w:r w:rsidR="00B97C2F">
        <w:rPr>
          <w:rFonts w:asciiTheme="majorHAnsi" w:eastAsia="Times New Roman" w:hAnsiTheme="majorHAnsi" w:cstheme="majorHAnsi"/>
          <w:color w:val="000000"/>
          <w:sz w:val="24"/>
          <w:szCs w:val="24"/>
          <w:lang w:eastAsia="fr-FR"/>
        </w:rPr>
        <w:t xml:space="preserve">, </w:t>
      </w:r>
      <w:r w:rsidRPr="0041012B">
        <w:rPr>
          <w:rFonts w:asciiTheme="majorHAnsi" w:eastAsia="Times New Roman" w:hAnsiTheme="majorHAnsi" w:cstheme="majorHAnsi"/>
          <w:color w:val="000000"/>
          <w:sz w:val="24"/>
          <w:szCs w:val="24"/>
          <w:lang w:eastAsia="fr-FR"/>
        </w:rPr>
        <w:t>produits dérivés</w:t>
      </w:r>
      <w:r w:rsidR="00B97C2F">
        <w:rPr>
          <w:rFonts w:asciiTheme="majorHAnsi" w:eastAsia="Times New Roman" w:hAnsiTheme="majorHAnsi" w:cstheme="majorHAnsi"/>
          <w:color w:val="000000"/>
          <w:sz w:val="24"/>
          <w:szCs w:val="24"/>
          <w:lang w:eastAsia="fr-FR"/>
        </w:rPr>
        <w:t>, indicateurs ESG,..)</w:t>
      </w:r>
    </w:p>
    <w:p w14:paraId="0E7DB86C"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Capacité à passer des ordres</w:t>
      </w:r>
      <w:r w:rsidR="00B97C2F">
        <w:rPr>
          <w:rFonts w:asciiTheme="majorHAnsi" w:eastAsia="Times New Roman" w:hAnsiTheme="majorHAnsi" w:cstheme="majorHAnsi"/>
          <w:color w:val="000000"/>
          <w:sz w:val="24"/>
          <w:szCs w:val="24"/>
          <w:lang w:eastAsia="fr-FR"/>
        </w:rPr>
        <w:t xml:space="preserve"> virtuels</w:t>
      </w:r>
      <w:r w:rsidRPr="0041012B">
        <w:rPr>
          <w:rFonts w:asciiTheme="majorHAnsi" w:eastAsia="Times New Roman" w:hAnsiTheme="majorHAnsi" w:cstheme="majorHAnsi"/>
          <w:color w:val="000000"/>
          <w:sz w:val="24"/>
          <w:szCs w:val="24"/>
          <w:lang w:eastAsia="fr-FR"/>
        </w:rPr>
        <w:t xml:space="preserve"> d'achat et de vente sur différents types d'actifs</w:t>
      </w:r>
    </w:p>
    <w:p w14:paraId="0818BDF0"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Outils d'analyse technique et fondamentale intégrés</w:t>
      </w:r>
    </w:p>
    <w:p w14:paraId="383B443B"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Possibilité de créer des portefeuilles virtuels et de suivre leur performance</w:t>
      </w:r>
    </w:p>
    <w:p w14:paraId="54B54D12" w14:textId="77777777" w:rsid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Fonctionnalités de reporting pour évaluer les performances individuelles et collectives des étudiants</w:t>
      </w:r>
    </w:p>
    <w:p w14:paraId="4A5A89E0" w14:textId="77777777" w:rsidR="009A793B" w:rsidRPr="0041012B" w:rsidRDefault="009A793B" w:rsidP="0041012B">
      <w:pPr>
        <w:jc w:val="both"/>
        <w:rPr>
          <w:rFonts w:asciiTheme="majorHAnsi" w:eastAsia="Times New Roman" w:hAnsiTheme="majorHAnsi" w:cstheme="majorHAnsi"/>
          <w:color w:val="000000"/>
          <w:sz w:val="24"/>
          <w:szCs w:val="24"/>
          <w:lang w:eastAsia="fr-FR"/>
        </w:rPr>
      </w:pPr>
    </w:p>
    <w:p w14:paraId="0E682427" w14:textId="77777777" w:rsidR="009975CF" w:rsidRDefault="0041012B" w:rsidP="00A80646">
      <w:pPr>
        <w:pStyle w:val="Titre2"/>
        <w:rPr>
          <w:rFonts w:eastAsia="Times New Roman"/>
          <w:lang w:eastAsia="fr-FR"/>
        </w:rPr>
      </w:pPr>
      <w:bookmarkStart w:id="4" w:name="_Toc192172661"/>
      <w:r w:rsidRPr="0041012B">
        <w:rPr>
          <w:rFonts w:eastAsia="Times New Roman"/>
          <w:lang w:eastAsia="fr-FR"/>
        </w:rPr>
        <w:t>Descriptif technique</w:t>
      </w:r>
      <w:bookmarkEnd w:id="4"/>
    </w:p>
    <w:p w14:paraId="4C3FB479" w14:textId="77777777" w:rsidR="009A793B" w:rsidRPr="009A793B" w:rsidRDefault="009A793B" w:rsidP="009A793B">
      <w:pPr>
        <w:rPr>
          <w:lang w:eastAsia="fr-FR"/>
        </w:rPr>
      </w:pPr>
    </w:p>
    <w:p w14:paraId="42FB6AA9"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Plateforme web compatible avec les principaux navigateurs</w:t>
      </w:r>
    </w:p>
    <w:p w14:paraId="4237B407"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Architecture sécurisée pour protéger les données des utilisateurs</w:t>
      </w:r>
    </w:p>
    <w:p w14:paraId="6E025A30"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Intégration de flux de données de marché en temps réel provenant de sources fiables</w:t>
      </w:r>
    </w:p>
    <w:p w14:paraId="6B4AE7FC"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Interface utilisateur intuitive et conviviale</w:t>
      </w:r>
    </w:p>
    <w:p w14:paraId="33B294D3"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Possibilité de personnaliser les paramètres de simulation (montant initial, durée, etc.)</w:t>
      </w:r>
    </w:p>
    <w:p w14:paraId="65043A3E"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 xml:space="preserve">Maintenance préventive, corrective et évolutive régulière et mise à jour comprise de la plateforme </w:t>
      </w:r>
    </w:p>
    <w:p w14:paraId="6E3B4353"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r w:rsidRPr="0041012B">
        <w:rPr>
          <w:rFonts w:asciiTheme="majorHAnsi" w:eastAsia="Times New Roman" w:hAnsiTheme="majorHAnsi" w:cstheme="majorHAnsi"/>
          <w:color w:val="000000"/>
          <w:sz w:val="24"/>
          <w:szCs w:val="24"/>
          <w:lang w:eastAsia="fr-FR"/>
        </w:rPr>
        <w:t>•</w:t>
      </w:r>
      <w:r w:rsidRPr="0041012B">
        <w:rPr>
          <w:rFonts w:asciiTheme="majorHAnsi" w:eastAsia="Times New Roman" w:hAnsiTheme="majorHAnsi" w:cstheme="majorHAnsi"/>
          <w:color w:val="000000"/>
          <w:sz w:val="24"/>
          <w:szCs w:val="24"/>
          <w:lang w:eastAsia="fr-FR"/>
        </w:rPr>
        <w:tab/>
        <w:t>Support technique (guides, le support en ligne, Documentation technique et manuels d'utilisation)</w:t>
      </w:r>
    </w:p>
    <w:p w14:paraId="7292A915" w14:textId="77777777" w:rsidR="0041012B" w:rsidRPr="0041012B" w:rsidRDefault="0041012B" w:rsidP="0041012B">
      <w:pPr>
        <w:jc w:val="both"/>
        <w:rPr>
          <w:rFonts w:asciiTheme="majorHAnsi" w:eastAsia="Times New Roman" w:hAnsiTheme="majorHAnsi" w:cstheme="majorHAnsi"/>
          <w:color w:val="000000"/>
          <w:sz w:val="24"/>
          <w:szCs w:val="24"/>
          <w:lang w:eastAsia="fr-FR"/>
        </w:rPr>
      </w:pPr>
    </w:p>
    <w:p w14:paraId="7F6D740D" w14:textId="77777777" w:rsidR="008E02E7" w:rsidRDefault="008E02E7" w:rsidP="006749D8">
      <w:pPr>
        <w:pStyle w:val="Titre1"/>
      </w:pPr>
      <w:bookmarkStart w:id="5" w:name="_Toc167716880"/>
      <w:bookmarkStart w:id="6" w:name="_Toc192172662"/>
      <w:r>
        <w:t>Conditions de prix</w:t>
      </w:r>
      <w:bookmarkEnd w:id="5"/>
      <w:bookmarkEnd w:id="6"/>
    </w:p>
    <w:p w14:paraId="250A0671" w14:textId="77777777" w:rsidR="008E02E7" w:rsidRPr="00265B49" w:rsidRDefault="008E02E7" w:rsidP="000873C1">
      <w:pPr>
        <w:pStyle w:val="NormalWeb"/>
        <w:spacing w:before="0" w:beforeAutospacing="0" w:after="160" w:afterAutospacing="0" w:line="276" w:lineRule="auto"/>
        <w:jc w:val="both"/>
        <w:rPr>
          <w:rFonts w:asciiTheme="majorHAnsi" w:hAnsiTheme="majorHAnsi" w:cstheme="majorHAnsi"/>
          <w:color w:val="000000"/>
        </w:rPr>
      </w:pPr>
      <w:r w:rsidRPr="00265B49">
        <w:rPr>
          <w:rFonts w:asciiTheme="majorHAnsi" w:hAnsiTheme="majorHAnsi" w:cstheme="majorHAnsi"/>
          <w:color w:val="000000"/>
        </w:rPr>
        <w:t>Les soumissionnaires doivent fournir une proposition de prix détaillée comprenant :</w:t>
      </w:r>
    </w:p>
    <w:p w14:paraId="0CA5F04D" w14:textId="77777777" w:rsidR="008E02E7" w:rsidRPr="00265B49" w:rsidRDefault="008E02E7" w:rsidP="000873C1">
      <w:pPr>
        <w:pStyle w:val="NormalWeb"/>
        <w:spacing w:before="0" w:beforeAutospacing="0" w:after="0" w:afterAutospacing="0" w:line="276" w:lineRule="auto"/>
        <w:ind w:left="1429"/>
        <w:jc w:val="both"/>
        <w:rPr>
          <w:rFonts w:asciiTheme="majorHAnsi" w:hAnsiTheme="majorHAnsi" w:cstheme="majorHAnsi"/>
          <w:color w:val="000000"/>
        </w:rPr>
      </w:pPr>
      <w:r w:rsidRPr="00265B49">
        <w:rPr>
          <w:rFonts w:asciiTheme="majorHAnsi" w:hAnsiTheme="majorHAnsi" w:cstheme="majorHAnsi"/>
          <w:color w:val="000000"/>
        </w:rPr>
        <w:lastRenderedPageBreak/>
        <w:t>12 licences SAAS évolutives avec un compte d’accès unique pour toutes les licences -formations de base (accès au guide et support en ligne)-maintenances préventives, correctives et évolutives et mises à jour comprises d’accès unique pour toutes les licences </w:t>
      </w:r>
    </w:p>
    <w:p w14:paraId="550065E1" w14:textId="77777777" w:rsidR="008E02E7" w:rsidRPr="00265B49" w:rsidRDefault="008E02E7" w:rsidP="008E02E7">
      <w:pPr>
        <w:pStyle w:val="NormalWeb"/>
        <w:spacing w:before="0" w:beforeAutospacing="0" w:after="160" w:afterAutospacing="0"/>
        <w:ind w:left="720"/>
        <w:jc w:val="both"/>
        <w:rPr>
          <w:rFonts w:asciiTheme="majorHAnsi" w:hAnsiTheme="majorHAnsi" w:cstheme="majorHAnsi"/>
          <w:color w:val="000000"/>
        </w:rPr>
      </w:pPr>
    </w:p>
    <w:p w14:paraId="0B515384" w14:textId="77777777" w:rsidR="008E02E7" w:rsidRDefault="008E02E7" w:rsidP="008E02E7">
      <w:pPr>
        <w:pStyle w:val="NormalWeb"/>
        <w:spacing w:before="0" w:beforeAutospacing="0" w:after="160" w:afterAutospacing="0"/>
        <w:ind w:left="720"/>
        <w:jc w:val="both"/>
      </w:pPr>
    </w:p>
    <w:p w14:paraId="49FD9C36" w14:textId="77777777" w:rsidR="008E02E7" w:rsidRDefault="008E02E7" w:rsidP="006749D8">
      <w:pPr>
        <w:pStyle w:val="Titre1"/>
      </w:pPr>
    </w:p>
    <w:p w14:paraId="215E925E" w14:textId="77777777" w:rsidR="00F102E5" w:rsidRDefault="00F102E5" w:rsidP="006749D8">
      <w:pPr>
        <w:pStyle w:val="Titre1"/>
        <w:rPr>
          <w:rFonts w:ascii="Calibri Light" w:hAnsi="Calibri Light" w:cs="Calibri Light"/>
          <w:color w:val="2F5496"/>
        </w:rPr>
      </w:pPr>
      <w:bookmarkStart w:id="7" w:name="_Toc167716881"/>
      <w:bookmarkStart w:id="8" w:name="_Toc192172663"/>
      <w:r>
        <w:rPr>
          <w:rFonts w:ascii="Calibri Light" w:hAnsi="Calibri Light" w:cs="Calibri Light"/>
          <w:color w:val="2F5496"/>
        </w:rPr>
        <w:t>Critères d’évaluation</w:t>
      </w:r>
      <w:bookmarkEnd w:id="7"/>
      <w:bookmarkEnd w:id="8"/>
    </w:p>
    <w:p w14:paraId="4421F651" w14:textId="77777777" w:rsidR="000873C1" w:rsidRPr="000873C1" w:rsidRDefault="000873C1" w:rsidP="000873C1"/>
    <w:p w14:paraId="65F356EB" w14:textId="77777777" w:rsidR="00F102E5" w:rsidRPr="00265B49" w:rsidRDefault="00F102E5" w:rsidP="000873C1">
      <w:pPr>
        <w:pStyle w:val="NormalWeb"/>
        <w:spacing w:before="0" w:beforeAutospacing="0" w:after="160" w:afterAutospacing="0" w:line="276" w:lineRule="auto"/>
        <w:jc w:val="both"/>
        <w:rPr>
          <w:rFonts w:asciiTheme="majorHAnsi" w:hAnsiTheme="majorHAnsi" w:cstheme="majorHAnsi"/>
          <w:color w:val="000000"/>
        </w:rPr>
      </w:pPr>
      <w:r w:rsidRPr="00265B49">
        <w:rPr>
          <w:rFonts w:asciiTheme="majorHAnsi" w:hAnsiTheme="majorHAnsi" w:cstheme="majorHAnsi"/>
          <w:color w:val="000000"/>
        </w:rPr>
        <w:t>Les offres seront évaluées en fonction des critères suivants :</w:t>
      </w:r>
    </w:p>
    <w:p w14:paraId="435A58E0" w14:textId="77777777" w:rsidR="00CC3A03" w:rsidRPr="00D67836" w:rsidRDefault="00CC3A03" w:rsidP="000873C1">
      <w:pPr>
        <w:pStyle w:val="NormalWeb"/>
        <w:spacing w:line="276" w:lineRule="auto"/>
        <w:jc w:val="both"/>
        <w:rPr>
          <w:rFonts w:asciiTheme="majorHAnsi" w:hAnsiTheme="majorHAnsi" w:cstheme="majorHAnsi"/>
          <w:color w:val="000000"/>
        </w:rPr>
      </w:pPr>
      <w:r w:rsidRPr="00D67836">
        <w:rPr>
          <w:rFonts w:asciiTheme="majorHAnsi" w:hAnsiTheme="majorHAnsi" w:cstheme="majorHAnsi"/>
          <w:color w:val="000000"/>
        </w:rPr>
        <w:t>● Sous critère n°1 –couverture</w:t>
      </w:r>
      <w:r w:rsidR="00255C12" w:rsidRPr="00D67836">
        <w:rPr>
          <w:rFonts w:asciiTheme="majorHAnsi" w:hAnsiTheme="majorHAnsi" w:cstheme="majorHAnsi"/>
          <w:color w:val="000000"/>
        </w:rPr>
        <w:t xml:space="preserve"> large </w:t>
      </w:r>
      <w:r w:rsidRPr="00D67836">
        <w:rPr>
          <w:rFonts w:asciiTheme="majorHAnsi" w:hAnsiTheme="majorHAnsi" w:cstheme="majorHAnsi"/>
          <w:color w:val="000000"/>
        </w:rPr>
        <w:t>des marché</w:t>
      </w:r>
      <w:r w:rsidR="00255C12" w:rsidRPr="00D67836">
        <w:rPr>
          <w:rFonts w:asciiTheme="majorHAnsi" w:hAnsiTheme="majorHAnsi" w:cstheme="majorHAnsi"/>
          <w:color w:val="000000"/>
        </w:rPr>
        <w:t>s</w:t>
      </w:r>
      <w:r w:rsidRPr="00D67836">
        <w:rPr>
          <w:rFonts w:asciiTheme="majorHAnsi" w:hAnsiTheme="majorHAnsi" w:cstheme="majorHAnsi"/>
          <w:color w:val="000000"/>
        </w:rPr>
        <w:t xml:space="preserve"> financiers</w:t>
      </w:r>
      <w:r w:rsidR="00255C12" w:rsidRPr="00D67836">
        <w:rPr>
          <w:rFonts w:asciiTheme="majorHAnsi" w:hAnsiTheme="majorHAnsi" w:cstheme="majorHAnsi"/>
          <w:color w:val="000000"/>
        </w:rPr>
        <w:t xml:space="preserve"> p</w:t>
      </w:r>
      <w:r w:rsidRPr="00D67836">
        <w:rPr>
          <w:rFonts w:asciiTheme="majorHAnsi" w:hAnsiTheme="majorHAnsi" w:cstheme="majorHAnsi"/>
          <w:color w:val="000000"/>
        </w:rPr>
        <w:t>our garantir une diversité d'actifs</w:t>
      </w:r>
      <w:r w:rsidR="00255C12" w:rsidRPr="00D67836">
        <w:rPr>
          <w:rFonts w:asciiTheme="majorHAnsi" w:hAnsiTheme="majorHAnsi" w:cstheme="majorHAnsi"/>
          <w:color w:val="000000"/>
        </w:rPr>
        <w:t xml:space="preserve"> (y compris le marché obligataire et monétaire)</w:t>
      </w:r>
      <w:r w:rsidRPr="00D67836">
        <w:rPr>
          <w:rFonts w:asciiTheme="majorHAnsi" w:hAnsiTheme="majorHAnsi" w:cstheme="majorHAnsi"/>
          <w:color w:val="000000"/>
        </w:rPr>
        <w:t xml:space="preserve"> et une représentativité des marchés mondiaux</w:t>
      </w:r>
      <w:r w:rsidR="000B79AC" w:rsidRPr="00D67836">
        <w:rPr>
          <w:rFonts w:asciiTheme="majorHAnsi" w:hAnsiTheme="majorHAnsi" w:cstheme="majorHAnsi"/>
          <w:color w:val="000000"/>
        </w:rPr>
        <w:t xml:space="preserve"> (y compris les pays émergents)</w:t>
      </w:r>
      <w:r w:rsidR="00255C12" w:rsidRPr="00D67836">
        <w:rPr>
          <w:rFonts w:asciiTheme="majorHAnsi" w:hAnsiTheme="majorHAnsi" w:cstheme="majorHAnsi"/>
          <w:color w:val="000000"/>
        </w:rPr>
        <w:t> :</w:t>
      </w:r>
      <w:r w:rsidRPr="00D67836">
        <w:rPr>
          <w:rFonts w:asciiTheme="majorHAnsi" w:hAnsiTheme="majorHAnsi" w:cstheme="majorHAnsi"/>
          <w:color w:val="000000"/>
        </w:rPr>
        <w:t xml:space="preserve"> </w:t>
      </w:r>
      <w:r w:rsidR="00DC58D8" w:rsidRPr="00D67836">
        <w:rPr>
          <w:rFonts w:asciiTheme="majorHAnsi" w:hAnsiTheme="majorHAnsi" w:cstheme="majorHAnsi"/>
          <w:color w:val="000000"/>
        </w:rPr>
        <w:t>20</w:t>
      </w:r>
      <w:r w:rsidRPr="00D67836">
        <w:rPr>
          <w:rFonts w:asciiTheme="majorHAnsi" w:hAnsiTheme="majorHAnsi" w:cstheme="majorHAnsi"/>
          <w:color w:val="000000"/>
        </w:rPr>
        <w:t xml:space="preserve"> points.</w:t>
      </w:r>
    </w:p>
    <w:p w14:paraId="7C106B9A" w14:textId="77777777" w:rsidR="00CC3A03" w:rsidRPr="00D67836" w:rsidRDefault="00CC3A03" w:rsidP="000873C1">
      <w:pPr>
        <w:pStyle w:val="NormalWeb"/>
        <w:spacing w:line="276" w:lineRule="auto"/>
        <w:jc w:val="both"/>
        <w:rPr>
          <w:rFonts w:asciiTheme="majorHAnsi" w:hAnsiTheme="majorHAnsi" w:cstheme="majorHAnsi"/>
          <w:color w:val="000000"/>
        </w:rPr>
      </w:pPr>
      <w:r w:rsidRPr="00D67836">
        <w:rPr>
          <w:rFonts w:asciiTheme="majorHAnsi" w:hAnsiTheme="majorHAnsi" w:cstheme="majorHAnsi"/>
          <w:color w:val="000000"/>
        </w:rPr>
        <w:t>● Sous critère n°2 – qualité des données de marchés en temps réel : la précision et la fiabilité des données de marché en temps réel, incluant les cotations, les indices et autres informations financières essentielles</w:t>
      </w:r>
      <w:r w:rsidR="00D67836">
        <w:rPr>
          <w:rFonts w:asciiTheme="majorHAnsi" w:hAnsiTheme="majorHAnsi" w:cstheme="majorHAnsi"/>
          <w:color w:val="000000"/>
        </w:rPr>
        <w:t> </w:t>
      </w:r>
      <w:r w:rsidR="00D67836" w:rsidRPr="00D67836">
        <w:rPr>
          <w:rFonts w:asciiTheme="majorHAnsi" w:hAnsiTheme="majorHAnsi" w:cstheme="majorHAnsi"/>
          <w:color w:val="000000"/>
        </w:rPr>
        <w:t xml:space="preserve">: </w:t>
      </w:r>
      <w:r w:rsidR="006148AD" w:rsidRPr="00D67836">
        <w:rPr>
          <w:rFonts w:asciiTheme="majorHAnsi" w:hAnsiTheme="majorHAnsi" w:cstheme="majorHAnsi"/>
          <w:color w:val="000000"/>
        </w:rPr>
        <w:t>3</w:t>
      </w:r>
      <w:r w:rsidR="00DC58D8" w:rsidRPr="00D67836">
        <w:rPr>
          <w:rFonts w:asciiTheme="majorHAnsi" w:hAnsiTheme="majorHAnsi" w:cstheme="majorHAnsi"/>
          <w:color w:val="000000"/>
        </w:rPr>
        <w:t>0</w:t>
      </w:r>
      <w:r w:rsidRPr="00D67836">
        <w:rPr>
          <w:rFonts w:asciiTheme="majorHAnsi" w:hAnsiTheme="majorHAnsi" w:cstheme="majorHAnsi"/>
          <w:color w:val="000000"/>
        </w:rPr>
        <w:t xml:space="preserve"> points.</w:t>
      </w:r>
    </w:p>
    <w:p w14:paraId="1CFCF82C" w14:textId="77777777" w:rsidR="008E02E7" w:rsidRDefault="00CC3A03" w:rsidP="000873C1">
      <w:pPr>
        <w:pStyle w:val="NormalWeb"/>
        <w:spacing w:before="0" w:beforeAutospacing="0" w:after="160" w:afterAutospacing="0" w:line="276" w:lineRule="auto"/>
        <w:jc w:val="both"/>
        <w:rPr>
          <w:rFonts w:asciiTheme="majorHAnsi" w:hAnsiTheme="majorHAnsi" w:cstheme="majorHAnsi"/>
          <w:color w:val="000000"/>
        </w:rPr>
      </w:pPr>
      <w:r w:rsidRPr="00D67836">
        <w:rPr>
          <w:rFonts w:asciiTheme="majorHAnsi" w:hAnsiTheme="majorHAnsi" w:cstheme="majorHAnsi"/>
          <w:color w:val="000000"/>
        </w:rPr>
        <w:t xml:space="preserve">● Sous critère n°3 – qualité des </w:t>
      </w:r>
      <w:r w:rsidR="000B79AC" w:rsidRPr="00D67836">
        <w:rPr>
          <w:rFonts w:asciiTheme="majorHAnsi" w:hAnsiTheme="majorHAnsi" w:cstheme="majorHAnsi"/>
          <w:color w:val="000000"/>
        </w:rPr>
        <w:t xml:space="preserve">données en matière de profondeur et de granularité (données </w:t>
      </w:r>
      <w:proofErr w:type="spellStart"/>
      <w:r w:rsidR="000B79AC" w:rsidRPr="00D67836">
        <w:rPr>
          <w:rFonts w:asciiTheme="majorHAnsi" w:hAnsiTheme="majorHAnsi" w:cstheme="majorHAnsi"/>
          <w:color w:val="000000"/>
        </w:rPr>
        <w:t>tick</w:t>
      </w:r>
      <w:proofErr w:type="spellEnd"/>
      <w:r w:rsidR="000B79AC" w:rsidRPr="00D67836">
        <w:rPr>
          <w:rFonts w:asciiTheme="majorHAnsi" w:hAnsiTheme="majorHAnsi" w:cstheme="majorHAnsi"/>
          <w:color w:val="000000"/>
        </w:rPr>
        <w:t>-by-</w:t>
      </w:r>
      <w:proofErr w:type="spellStart"/>
      <w:r w:rsidR="000B79AC" w:rsidRPr="00D67836">
        <w:rPr>
          <w:rFonts w:asciiTheme="majorHAnsi" w:hAnsiTheme="majorHAnsi" w:cstheme="majorHAnsi"/>
          <w:color w:val="000000"/>
        </w:rPr>
        <w:t>tick</w:t>
      </w:r>
      <w:proofErr w:type="spellEnd"/>
      <w:r w:rsidR="000B79AC" w:rsidRPr="00D67836">
        <w:rPr>
          <w:rFonts w:asciiTheme="majorHAnsi" w:hAnsiTheme="majorHAnsi" w:cstheme="majorHAnsi"/>
          <w:color w:val="000000"/>
        </w:rPr>
        <w:t xml:space="preserve"> par seconde, par minute et par heure)</w:t>
      </w:r>
      <w:r w:rsidRPr="00D67836">
        <w:rPr>
          <w:rFonts w:asciiTheme="majorHAnsi" w:hAnsiTheme="majorHAnsi" w:cstheme="majorHAnsi"/>
          <w:color w:val="000000"/>
        </w:rPr>
        <w:t>:</w:t>
      </w:r>
      <w:r w:rsidR="00DC58D8" w:rsidRPr="00D67836">
        <w:rPr>
          <w:rFonts w:asciiTheme="majorHAnsi" w:hAnsiTheme="majorHAnsi" w:cstheme="majorHAnsi"/>
          <w:color w:val="000000"/>
        </w:rPr>
        <w:t xml:space="preserve"> 20</w:t>
      </w:r>
      <w:r w:rsidRPr="00D67836">
        <w:rPr>
          <w:rFonts w:asciiTheme="majorHAnsi" w:hAnsiTheme="majorHAnsi" w:cstheme="majorHAnsi"/>
          <w:color w:val="000000"/>
        </w:rPr>
        <w:t xml:space="preserve"> points</w:t>
      </w:r>
    </w:p>
    <w:p w14:paraId="2FC961F6" w14:textId="77777777" w:rsidR="00255C12" w:rsidRPr="000873C1" w:rsidRDefault="00255C12" w:rsidP="000873C1">
      <w:pPr>
        <w:pStyle w:val="NormalWeb"/>
        <w:spacing w:before="0" w:beforeAutospacing="0" w:after="160" w:afterAutospacing="0" w:line="276" w:lineRule="auto"/>
        <w:jc w:val="both"/>
        <w:rPr>
          <w:rFonts w:asciiTheme="majorHAnsi" w:hAnsiTheme="majorHAnsi" w:cstheme="majorHAnsi"/>
          <w:color w:val="000000"/>
        </w:rPr>
      </w:pPr>
    </w:p>
    <w:p w14:paraId="5BBFFA20" w14:textId="77777777" w:rsidR="008E02E7" w:rsidRDefault="008E02E7" w:rsidP="008E02E7">
      <w:pPr>
        <w:pStyle w:val="NormalWeb"/>
        <w:spacing w:before="0" w:beforeAutospacing="0" w:after="160" w:afterAutospacing="0"/>
        <w:ind w:left="720"/>
        <w:jc w:val="both"/>
      </w:pPr>
      <w:r>
        <w:t> </w:t>
      </w:r>
    </w:p>
    <w:p w14:paraId="6EEB7CB5" w14:textId="77777777" w:rsidR="008E02E7" w:rsidRDefault="008E02E7" w:rsidP="006749D8">
      <w:pPr>
        <w:pStyle w:val="Titre1"/>
      </w:pPr>
      <w:bookmarkStart w:id="9" w:name="_Toc167716882"/>
      <w:bookmarkStart w:id="10" w:name="_Toc192172664"/>
      <w:r>
        <w:t>Calendrier Prévisionnel</w:t>
      </w:r>
      <w:bookmarkEnd w:id="9"/>
      <w:bookmarkEnd w:id="10"/>
    </w:p>
    <w:p w14:paraId="5B1C18D9" w14:textId="77777777" w:rsidR="00265B49" w:rsidRPr="00265B49" w:rsidRDefault="00265B49" w:rsidP="00265B49"/>
    <w:p w14:paraId="5FF228A7" w14:textId="5788B5CB" w:rsidR="008E02E7" w:rsidRPr="00265B49" w:rsidRDefault="008E02E7" w:rsidP="00265B49">
      <w:pPr>
        <w:pStyle w:val="NormalWeb"/>
        <w:spacing w:before="0" w:beforeAutospacing="0" w:after="160" w:afterAutospacing="0"/>
        <w:ind w:left="1440"/>
        <w:jc w:val="both"/>
        <w:rPr>
          <w:rFonts w:asciiTheme="majorHAnsi" w:hAnsiTheme="majorHAnsi" w:cstheme="majorHAnsi"/>
          <w:color w:val="000000"/>
        </w:rPr>
      </w:pPr>
      <w:r w:rsidRPr="00265B49">
        <w:rPr>
          <w:rFonts w:asciiTheme="majorHAnsi" w:hAnsiTheme="majorHAnsi" w:cstheme="majorHAnsi"/>
          <w:color w:val="000000"/>
        </w:rPr>
        <w:t xml:space="preserve">Date limite de réception des offres : </w:t>
      </w:r>
      <w:r w:rsidR="00265B49">
        <w:rPr>
          <w:rFonts w:asciiTheme="majorHAnsi" w:hAnsiTheme="majorHAnsi" w:cstheme="majorHAnsi"/>
          <w:color w:val="000000"/>
        </w:rPr>
        <w:t xml:space="preserve">                </w:t>
      </w:r>
      <w:r w:rsidRPr="00265B49">
        <w:rPr>
          <w:rFonts w:asciiTheme="majorHAnsi" w:hAnsiTheme="majorHAnsi" w:cstheme="majorHAnsi"/>
          <w:color w:val="000000"/>
        </w:rPr>
        <w:t>T</w:t>
      </w:r>
      <w:r w:rsidR="001256D4">
        <w:rPr>
          <w:rFonts w:asciiTheme="majorHAnsi" w:hAnsiTheme="majorHAnsi" w:cstheme="majorHAnsi"/>
          <w:color w:val="000000"/>
        </w:rPr>
        <w:t>3</w:t>
      </w:r>
      <w:r w:rsidRPr="00265B49">
        <w:rPr>
          <w:rFonts w:asciiTheme="majorHAnsi" w:hAnsiTheme="majorHAnsi" w:cstheme="majorHAnsi"/>
          <w:color w:val="000000"/>
        </w:rPr>
        <w:t xml:space="preserve"> 2025</w:t>
      </w:r>
    </w:p>
    <w:p w14:paraId="680E771E" w14:textId="18474338" w:rsidR="008E02E7" w:rsidRPr="00265B49" w:rsidRDefault="008E02E7" w:rsidP="00265B49">
      <w:pPr>
        <w:pStyle w:val="NormalWeb"/>
        <w:spacing w:before="0" w:beforeAutospacing="0" w:after="160" w:afterAutospacing="0"/>
        <w:ind w:left="1440"/>
        <w:jc w:val="both"/>
        <w:rPr>
          <w:rFonts w:asciiTheme="majorHAnsi" w:hAnsiTheme="majorHAnsi" w:cstheme="majorHAnsi"/>
          <w:color w:val="000000"/>
        </w:rPr>
      </w:pPr>
      <w:r w:rsidRPr="00265B49">
        <w:rPr>
          <w:rFonts w:asciiTheme="majorHAnsi" w:hAnsiTheme="majorHAnsi" w:cstheme="majorHAnsi"/>
          <w:color w:val="000000"/>
        </w:rPr>
        <w:t xml:space="preserve">Évaluation des offres : </w:t>
      </w:r>
      <w:r w:rsidR="00265B49">
        <w:rPr>
          <w:rFonts w:asciiTheme="majorHAnsi" w:hAnsiTheme="majorHAnsi" w:cstheme="majorHAnsi"/>
          <w:color w:val="000000"/>
        </w:rPr>
        <w:t xml:space="preserve">                                         </w:t>
      </w:r>
      <w:r w:rsidRPr="00265B49">
        <w:rPr>
          <w:rFonts w:asciiTheme="majorHAnsi" w:hAnsiTheme="majorHAnsi" w:cstheme="majorHAnsi"/>
          <w:color w:val="000000"/>
        </w:rPr>
        <w:t>T</w:t>
      </w:r>
      <w:r w:rsidR="001256D4">
        <w:rPr>
          <w:rFonts w:asciiTheme="majorHAnsi" w:hAnsiTheme="majorHAnsi" w:cstheme="majorHAnsi"/>
          <w:color w:val="000000"/>
        </w:rPr>
        <w:t xml:space="preserve">3 </w:t>
      </w:r>
      <w:r w:rsidR="00265B49" w:rsidRPr="00265B49">
        <w:rPr>
          <w:rFonts w:asciiTheme="majorHAnsi" w:hAnsiTheme="majorHAnsi" w:cstheme="majorHAnsi"/>
          <w:color w:val="000000"/>
        </w:rPr>
        <w:t>2</w:t>
      </w:r>
      <w:r w:rsidRPr="00265B49">
        <w:rPr>
          <w:rFonts w:asciiTheme="majorHAnsi" w:hAnsiTheme="majorHAnsi" w:cstheme="majorHAnsi"/>
          <w:color w:val="000000"/>
        </w:rPr>
        <w:t>025</w:t>
      </w:r>
    </w:p>
    <w:p w14:paraId="0DFC9BAF" w14:textId="00EA824E" w:rsidR="008E02E7" w:rsidRPr="00265B49" w:rsidRDefault="008E02E7" w:rsidP="00265B49">
      <w:pPr>
        <w:pStyle w:val="NormalWeb"/>
        <w:spacing w:before="0" w:beforeAutospacing="0" w:after="160" w:afterAutospacing="0"/>
        <w:ind w:left="1440"/>
        <w:jc w:val="both"/>
        <w:rPr>
          <w:rFonts w:asciiTheme="majorHAnsi" w:hAnsiTheme="majorHAnsi" w:cstheme="majorHAnsi"/>
          <w:color w:val="000000"/>
        </w:rPr>
      </w:pPr>
      <w:r w:rsidRPr="00265B49">
        <w:rPr>
          <w:rFonts w:asciiTheme="majorHAnsi" w:hAnsiTheme="majorHAnsi" w:cstheme="majorHAnsi"/>
          <w:color w:val="000000"/>
        </w:rPr>
        <w:t>Notification du choix du fournisseur retenu :</w:t>
      </w:r>
      <w:r w:rsidR="00265B49" w:rsidRPr="00265B49">
        <w:rPr>
          <w:rFonts w:asciiTheme="majorHAnsi" w:hAnsiTheme="majorHAnsi" w:cstheme="majorHAnsi"/>
          <w:color w:val="000000"/>
        </w:rPr>
        <w:t xml:space="preserve">   </w:t>
      </w:r>
      <w:r w:rsidRPr="00265B49">
        <w:rPr>
          <w:rFonts w:asciiTheme="majorHAnsi" w:hAnsiTheme="majorHAnsi" w:cstheme="majorHAnsi"/>
          <w:color w:val="000000"/>
        </w:rPr>
        <w:t>T</w:t>
      </w:r>
      <w:r w:rsidR="001256D4">
        <w:rPr>
          <w:rFonts w:asciiTheme="majorHAnsi" w:hAnsiTheme="majorHAnsi" w:cstheme="majorHAnsi"/>
          <w:color w:val="000000"/>
        </w:rPr>
        <w:t>4</w:t>
      </w:r>
      <w:r w:rsidRPr="00265B49">
        <w:rPr>
          <w:rFonts w:asciiTheme="majorHAnsi" w:hAnsiTheme="majorHAnsi" w:cstheme="majorHAnsi"/>
          <w:color w:val="000000"/>
        </w:rPr>
        <w:t xml:space="preserve"> 2025</w:t>
      </w:r>
    </w:p>
    <w:p w14:paraId="2EED3DA0" w14:textId="3F959E56" w:rsidR="00265B49" w:rsidRPr="00265B49" w:rsidRDefault="008E02E7" w:rsidP="00265B49">
      <w:pPr>
        <w:pStyle w:val="NormalWeb"/>
        <w:spacing w:before="0" w:beforeAutospacing="0" w:after="160" w:afterAutospacing="0"/>
        <w:ind w:left="1440"/>
        <w:jc w:val="both"/>
        <w:rPr>
          <w:rFonts w:asciiTheme="majorHAnsi" w:hAnsiTheme="majorHAnsi" w:cstheme="majorHAnsi"/>
          <w:color w:val="000000"/>
        </w:rPr>
      </w:pPr>
      <w:r w:rsidRPr="00265B49">
        <w:rPr>
          <w:rFonts w:asciiTheme="majorHAnsi" w:hAnsiTheme="majorHAnsi" w:cstheme="majorHAnsi"/>
          <w:color w:val="000000"/>
        </w:rPr>
        <w:t>Démarrage du projet : installation de la salle</w:t>
      </w:r>
      <w:r w:rsidR="00265B49" w:rsidRPr="00265B49">
        <w:rPr>
          <w:rFonts w:asciiTheme="majorHAnsi" w:hAnsiTheme="majorHAnsi" w:cstheme="majorHAnsi"/>
          <w:color w:val="000000"/>
        </w:rPr>
        <w:t> : T</w:t>
      </w:r>
      <w:r w:rsidR="001256D4">
        <w:rPr>
          <w:rFonts w:asciiTheme="majorHAnsi" w:hAnsiTheme="majorHAnsi" w:cstheme="majorHAnsi"/>
          <w:color w:val="000000"/>
        </w:rPr>
        <w:t>4</w:t>
      </w:r>
      <w:r w:rsidRPr="00265B49">
        <w:rPr>
          <w:rFonts w:asciiTheme="majorHAnsi" w:hAnsiTheme="majorHAnsi" w:cstheme="majorHAnsi"/>
          <w:color w:val="000000"/>
        </w:rPr>
        <w:t xml:space="preserve"> 2025</w:t>
      </w:r>
    </w:p>
    <w:p w14:paraId="5E61EDAD" w14:textId="77777777" w:rsidR="008E02E7" w:rsidRPr="00265B49" w:rsidRDefault="00265B49" w:rsidP="00265B49">
      <w:pPr>
        <w:pStyle w:val="NormalWeb"/>
        <w:spacing w:before="0" w:beforeAutospacing="0" w:after="160" w:afterAutospacing="0"/>
        <w:ind w:left="1440"/>
        <w:jc w:val="both"/>
        <w:rPr>
          <w:rFonts w:asciiTheme="majorHAnsi" w:hAnsiTheme="majorHAnsi" w:cstheme="majorHAnsi"/>
          <w:color w:val="000000"/>
        </w:rPr>
      </w:pPr>
      <w:r w:rsidRPr="00265B49">
        <w:rPr>
          <w:rFonts w:asciiTheme="majorHAnsi" w:hAnsiTheme="majorHAnsi" w:cstheme="majorHAnsi"/>
          <w:color w:val="000000"/>
        </w:rPr>
        <w:t>M</w:t>
      </w:r>
      <w:r w:rsidR="008E02E7" w:rsidRPr="00265B49">
        <w:rPr>
          <w:rFonts w:asciiTheme="majorHAnsi" w:hAnsiTheme="majorHAnsi" w:cstheme="majorHAnsi"/>
          <w:color w:val="000000"/>
        </w:rPr>
        <w:t xml:space="preserve">ise en service </w:t>
      </w:r>
      <w:r w:rsidRPr="00265B49">
        <w:rPr>
          <w:rFonts w:asciiTheme="majorHAnsi" w:hAnsiTheme="majorHAnsi" w:cstheme="majorHAnsi"/>
          <w:color w:val="000000"/>
        </w:rPr>
        <w:t>de la Salle de</w:t>
      </w:r>
      <w:r w:rsidR="00B7612B">
        <w:rPr>
          <w:rFonts w:asciiTheme="majorHAnsi" w:hAnsiTheme="majorHAnsi" w:cstheme="majorHAnsi"/>
          <w:color w:val="000000"/>
        </w:rPr>
        <w:t>s</w:t>
      </w:r>
      <w:r w:rsidRPr="00265B49">
        <w:rPr>
          <w:rFonts w:asciiTheme="majorHAnsi" w:hAnsiTheme="majorHAnsi" w:cstheme="majorHAnsi"/>
          <w:color w:val="000000"/>
        </w:rPr>
        <w:t xml:space="preserve"> Marchés </w:t>
      </w:r>
      <w:proofErr w:type="spellStart"/>
      <w:r w:rsidRPr="00265B49">
        <w:rPr>
          <w:rFonts w:asciiTheme="majorHAnsi" w:hAnsiTheme="majorHAnsi" w:cstheme="majorHAnsi"/>
          <w:color w:val="000000"/>
        </w:rPr>
        <w:t>amU</w:t>
      </w:r>
      <w:proofErr w:type="spellEnd"/>
      <w:r w:rsidRPr="00265B49">
        <w:rPr>
          <w:rFonts w:asciiTheme="majorHAnsi" w:hAnsiTheme="majorHAnsi" w:cstheme="majorHAnsi"/>
          <w:color w:val="000000"/>
        </w:rPr>
        <w:t> :  T4</w:t>
      </w:r>
      <w:r w:rsidR="008E02E7" w:rsidRPr="00265B49">
        <w:rPr>
          <w:rFonts w:asciiTheme="majorHAnsi" w:hAnsiTheme="majorHAnsi" w:cstheme="majorHAnsi"/>
          <w:color w:val="000000"/>
        </w:rPr>
        <w:t xml:space="preserve"> 2025</w:t>
      </w:r>
    </w:p>
    <w:p w14:paraId="6DE7FBC8" w14:textId="77777777" w:rsidR="008E02E7" w:rsidRDefault="008E02E7" w:rsidP="008E02E7">
      <w:pPr>
        <w:pStyle w:val="NormalWeb"/>
        <w:spacing w:before="0" w:beforeAutospacing="0" w:after="160" w:afterAutospacing="0"/>
        <w:jc w:val="both"/>
      </w:pPr>
      <w:r>
        <w:t> </w:t>
      </w:r>
    </w:p>
    <w:p w14:paraId="77B3241C" w14:textId="77777777" w:rsidR="006749D8" w:rsidRDefault="008E02E7" w:rsidP="006749D8">
      <w:pPr>
        <w:pStyle w:val="Titre1"/>
      </w:pPr>
      <w:bookmarkStart w:id="11" w:name="_Toc167716883"/>
      <w:bookmarkStart w:id="12" w:name="_Toc192172665"/>
      <w:r>
        <w:lastRenderedPageBreak/>
        <w:t xml:space="preserve">Durée </w:t>
      </w:r>
      <w:r w:rsidR="00DD5911">
        <w:t>et</w:t>
      </w:r>
      <w:r>
        <w:t xml:space="preserve"> délais du Marché</w:t>
      </w:r>
      <w:bookmarkEnd w:id="11"/>
      <w:bookmarkEnd w:id="12"/>
    </w:p>
    <w:p w14:paraId="2E7D3B23" w14:textId="77777777" w:rsidR="000873C1" w:rsidRPr="000873C1" w:rsidRDefault="000873C1" w:rsidP="000873C1">
      <w:pPr>
        <w:spacing w:line="276" w:lineRule="auto"/>
      </w:pPr>
    </w:p>
    <w:p w14:paraId="15527606" w14:textId="77777777" w:rsidR="00D67836" w:rsidRDefault="008E02E7" w:rsidP="000873C1">
      <w:pPr>
        <w:pStyle w:val="NormalWeb"/>
        <w:spacing w:before="40" w:beforeAutospacing="0" w:after="40" w:afterAutospacing="0" w:line="276" w:lineRule="auto"/>
        <w:jc w:val="both"/>
        <w:rPr>
          <w:rFonts w:asciiTheme="majorHAnsi" w:hAnsiTheme="majorHAnsi" w:cstheme="majorHAnsi"/>
          <w:color w:val="000000"/>
        </w:rPr>
      </w:pPr>
      <w:r w:rsidRPr="00265B49">
        <w:rPr>
          <w:rFonts w:asciiTheme="majorHAnsi" w:hAnsiTheme="majorHAnsi" w:cstheme="majorHAnsi"/>
          <w:color w:val="000000"/>
        </w:rPr>
        <w:t>Le marché prend effet à la date de réception de sa notification par le titulaire pour une durée</w:t>
      </w:r>
      <w:r w:rsidR="00D67836">
        <w:rPr>
          <w:rFonts w:asciiTheme="majorHAnsi" w:hAnsiTheme="majorHAnsi" w:cstheme="majorHAnsi"/>
          <w:color w:val="000000"/>
        </w:rPr>
        <w:t xml:space="preserve"> </w:t>
      </w:r>
      <w:r w:rsidRPr="00265B49">
        <w:rPr>
          <w:rFonts w:asciiTheme="majorHAnsi" w:hAnsiTheme="majorHAnsi" w:cstheme="majorHAnsi"/>
          <w:color w:val="000000"/>
        </w:rPr>
        <w:t>de 4 ans et 3 mois :</w:t>
      </w:r>
    </w:p>
    <w:p w14:paraId="17868286" w14:textId="77777777" w:rsidR="00D67836" w:rsidRDefault="00D67836" w:rsidP="00D67836">
      <w:pPr>
        <w:pStyle w:val="NormalWeb"/>
        <w:spacing w:before="40" w:beforeAutospacing="0" w:after="40" w:afterAutospacing="0" w:line="276" w:lineRule="auto"/>
        <w:ind w:firstLine="708"/>
        <w:jc w:val="both"/>
        <w:rPr>
          <w:rFonts w:asciiTheme="majorHAnsi" w:hAnsiTheme="majorHAnsi" w:cstheme="majorHAnsi"/>
          <w:color w:val="000000"/>
        </w:rPr>
      </w:pPr>
      <w:r>
        <w:rPr>
          <w:rFonts w:asciiTheme="majorHAnsi" w:hAnsiTheme="majorHAnsi" w:cstheme="majorHAnsi"/>
          <w:color w:val="000000"/>
        </w:rPr>
        <w:t xml:space="preserve">- </w:t>
      </w:r>
      <w:r w:rsidR="008E02E7" w:rsidRPr="00265B49">
        <w:rPr>
          <w:rFonts w:asciiTheme="majorHAnsi" w:hAnsiTheme="majorHAnsi" w:cstheme="majorHAnsi"/>
          <w:color w:val="000000"/>
        </w:rPr>
        <w:t>3 mois pour</w:t>
      </w:r>
      <w:r>
        <w:rPr>
          <w:rFonts w:asciiTheme="majorHAnsi" w:hAnsiTheme="majorHAnsi" w:cstheme="majorHAnsi"/>
          <w:color w:val="000000"/>
        </w:rPr>
        <w:t xml:space="preserve"> </w:t>
      </w:r>
      <w:r w:rsidR="008E02E7" w:rsidRPr="00265B49">
        <w:rPr>
          <w:rFonts w:asciiTheme="majorHAnsi" w:hAnsiTheme="majorHAnsi" w:cstheme="majorHAnsi"/>
          <w:color w:val="000000"/>
        </w:rPr>
        <w:t>l’installation et la configuration de la salle de</w:t>
      </w:r>
      <w:r w:rsidR="00B7612B">
        <w:rPr>
          <w:rFonts w:asciiTheme="majorHAnsi" w:hAnsiTheme="majorHAnsi" w:cstheme="majorHAnsi"/>
          <w:color w:val="000000"/>
        </w:rPr>
        <w:t>s</w:t>
      </w:r>
      <w:r w:rsidR="008E02E7" w:rsidRPr="00265B49">
        <w:rPr>
          <w:rFonts w:asciiTheme="majorHAnsi" w:hAnsiTheme="majorHAnsi" w:cstheme="majorHAnsi"/>
          <w:color w:val="000000"/>
        </w:rPr>
        <w:t xml:space="preserve"> marché</w:t>
      </w:r>
      <w:r w:rsidR="00B7612B">
        <w:rPr>
          <w:rFonts w:asciiTheme="majorHAnsi" w:hAnsiTheme="majorHAnsi" w:cstheme="majorHAnsi"/>
          <w:color w:val="000000"/>
        </w:rPr>
        <w:t>s</w:t>
      </w:r>
    </w:p>
    <w:p w14:paraId="1E4A06F4" w14:textId="77777777" w:rsidR="00D67836" w:rsidRDefault="00D67836" w:rsidP="00D67836">
      <w:pPr>
        <w:pStyle w:val="NormalWeb"/>
        <w:spacing w:before="40" w:beforeAutospacing="0" w:after="40" w:afterAutospacing="0" w:line="276" w:lineRule="auto"/>
        <w:ind w:firstLine="708"/>
        <w:jc w:val="both"/>
        <w:rPr>
          <w:rFonts w:asciiTheme="majorHAnsi" w:hAnsiTheme="majorHAnsi" w:cstheme="majorHAnsi"/>
          <w:color w:val="000000"/>
        </w:rPr>
      </w:pPr>
      <w:r>
        <w:rPr>
          <w:rFonts w:asciiTheme="majorHAnsi" w:hAnsiTheme="majorHAnsi" w:cstheme="majorHAnsi"/>
          <w:color w:val="000000"/>
        </w:rPr>
        <w:t xml:space="preserve">- </w:t>
      </w:r>
      <w:r w:rsidR="008E02E7" w:rsidRPr="00265B49">
        <w:rPr>
          <w:rFonts w:asciiTheme="majorHAnsi" w:hAnsiTheme="majorHAnsi" w:cstheme="majorHAnsi"/>
          <w:color w:val="000000"/>
        </w:rPr>
        <w:t xml:space="preserve">4 ans pour </w:t>
      </w:r>
      <w:r w:rsidR="005C3B52">
        <w:rPr>
          <w:rFonts w:asciiTheme="majorHAnsi" w:hAnsiTheme="majorHAnsi" w:cstheme="majorHAnsi"/>
          <w:color w:val="000000"/>
        </w:rPr>
        <w:t xml:space="preserve">les </w:t>
      </w:r>
      <w:r w:rsidR="008E02E7" w:rsidRPr="00265B49">
        <w:rPr>
          <w:rFonts w:asciiTheme="majorHAnsi" w:hAnsiTheme="majorHAnsi" w:cstheme="majorHAnsi"/>
          <w:color w:val="000000"/>
        </w:rPr>
        <w:t>licences avec formations (formations initiales, formations à chaque changement de version, formation pour les nouveaux enseignants durant le marché,</w:t>
      </w:r>
      <w:r>
        <w:rPr>
          <w:rFonts w:asciiTheme="majorHAnsi" w:hAnsiTheme="majorHAnsi" w:cstheme="majorHAnsi"/>
          <w:color w:val="000000"/>
        </w:rPr>
        <w:t xml:space="preserve"> </w:t>
      </w:r>
      <w:r w:rsidR="008E02E7" w:rsidRPr="00265B49">
        <w:rPr>
          <w:rFonts w:asciiTheme="majorHAnsi" w:hAnsiTheme="majorHAnsi" w:cstheme="majorHAnsi"/>
          <w:color w:val="000000"/>
        </w:rPr>
        <w:t>maintenance</w:t>
      </w:r>
      <w:r>
        <w:rPr>
          <w:rFonts w:asciiTheme="majorHAnsi" w:hAnsiTheme="majorHAnsi" w:cstheme="majorHAnsi"/>
          <w:color w:val="000000"/>
        </w:rPr>
        <w:t>s</w:t>
      </w:r>
      <w:r w:rsidR="008E02E7" w:rsidRPr="00265B49">
        <w:rPr>
          <w:rFonts w:asciiTheme="majorHAnsi" w:hAnsiTheme="majorHAnsi" w:cstheme="majorHAnsi"/>
          <w:color w:val="000000"/>
        </w:rPr>
        <w:t xml:space="preserve"> préventive, corrective et évolutive et mises à jour comprises</w:t>
      </w:r>
      <w:r>
        <w:rPr>
          <w:rFonts w:asciiTheme="majorHAnsi" w:hAnsiTheme="majorHAnsi" w:cstheme="majorHAnsi"/>
          <w:color w:val="000000"/>
        </w:rPr>
        <w:t>)</w:t>
      </w:r>
    </w:p>
    <w:p w14:paraId="18F981EE" w14:textId="77777777" w:rsidR="000E18FD" w:rsidRPr="000873C1" w:rsidRDefault="00D67836" w:rsidP="00D67836">
      <w:pPr>
        <w:pStyle w:val="NormalWeb"/>
        <w:spacing w:before="40" w:beforeAutospacing="0" w:after="40" w:afterAutospacing="0" w:line="276" w:lineRule="auto"/>
        <w:ind w:firstLine="708"/>
        <w:jc w:val="both"/>
        <w:rPr>
          <w:rFonts w:asciiTheme="majorHAnsi" w:hAnsiTheme="majorHAnsi" w:cstheme="majorHAnsi"/>
          <w:color w:val="000000"/>
        </w:rPr>
      </w:pPr>
      <w:r>
        <w:rPr>
          <w:rFonts w:asciiTheme="majorHAnsi" w:hAnsiTheme="majorHAnsi" w:cstheme="majorHAnsi"/>
          <w:color w:val="000000"/>
        </w:rPr>
        <w:t>-</w:t>
      </w:r>
      <w:r w:rsidR="008E02E7" w:rsidRPr="00265B49">
        <w:rPr>
          <w:rFonts w:asciiTheme="majorHAnsi" w:hAnsiTheme="majorHAnsi" w:cstheme="majorHAnsi"/>
          <w:color w:val="000000"/>
        </w:rPr>
        <w:t xml:space="preserve"> délais d’intervention en cas de problème : 48h</w:t>
      </w:r>
    </w:p>
    <w:sectPr w:rsidR="000E18FD" w:rsidRPr="000873C1" w:rsidSect="0071592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5C80A" w14:textId="77777777" w:rsidR="00B413E3" w:rsidRDefault="00B413E3" w:rsidP="000E18FD">
      <w:pPr>
        <w:spacing w:after="0" w:line="240" w:lineRule="auto"/>
      </w:pPr>
      <w:r>
        <w:separator/>
      </w:r>
    </w:p>
  </w:endnote>
  <w:endnote w:type="continuationSeparator" w:id="0">
    <w:p w14:paraId="1B8C3284" w14:textId="77777777" w:rsidR="00B413E3" w:rsidRDefault="00B413E3" w:rsidP="000E1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A3F49" w14:textId="77777777" w:rsidR="00B413E3" w:rsidRDefault="00B413E3" w:rsidP="000E18FD">
      <w:pPr>
        <w:spacing w:after="0" w:line="240" w:lineRule="auto"/>
      </w:pPr>
      <w:r>
        <w:separator/>
      </w:r>
    </w:p>
  </w:footnote>
  <w:footnote w:type="continuationSeparator" w:id="0">
    <w:p w14:paraId="62D400F8" w14:textId="77777777" w:rsidR="00B413E3" w:rsidRDefault="00B413E3" w:rsidP="000E1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CB5D7" w14:textId="77777777" w:rsidR="000E18FD" w:rsidRDefault="000E18FD" w:rsidP="00E3716B">
    <w:pPr>
      <w:pStyle w:val="En-tte"/>
      <w:spacing w:line="720" w:lineRule="auto"/>
    </w:pPr>
    <w:r>
      <w:rPr>
        <w:noProof/>
        <w:lang w:eastAsia="fr-FR"/>
      </w:rPr>
      <w:drawing>
        <wp:inline distT="0" distB="0" distL="0" distR="0" wp14:anchorId="5D0AA886" wp14:editId="7CF0099F">
          <wp:extent cx="3187751" cy="6045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3187751" cy="604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51AF2"/>
    <w:multiLevelType w:val="multilevel"/>
    <w:tmpl w:val="C1A6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6A460D"/>
    <w:multiLevelType w:val="multilevel"/>
    <w:tmpl w:val="30129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44B2C74"/>
    <w:multiLevelType w:val="multilevel"/>
    <w:tmpl w:val="39C81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D52"/>
    <w:rsid w:val="0004544F"/>
    <w:rsid w:val="000873C1"/>
    <w:rsid w:val="000B79AC"/>
    <w:rsid w:val="000E18FD"/>
    <w:rsid w:val="001256D4"/>
    <w:rsid w:val="00255C12"/>
    <w:rsid w:val="00263413"/>
    <w:rsid w:val="00265B49"/>
    <w:rsid w:val="00292234"/>
    <w:rsid w:val="002A07C1"/>
    <w:rsid w:val="003E7382"/>
    <w:rsid w:val="0041012B"/>
    <w:rsid w:val="00432C4C"/>
    <w:rsid w:val="005003F3"/>
    <w:rsid w:val="00523B08"/>
    <w:rsid w:val="00542FDD"/>
    <w:rsid w:val="005901D0"/>
    <w:rsid w:val="005C3B52"/>
    <w:rsid w:val="005D7DBB"/>
    <w:rsid w:val="006148AD"/>
    <w:rsid w:val="006749D8"/>
    <w:rsid w:val="00715921"/>
    <w:rsid w:val="00835322"/>
    <w:rsid w:val="008E02E7"/>
    <w:rsid w:val="008E3D52"/>
    <w:rsid w:val="009975CF"/>
    <w:rsid w:val="009A793B"/>
    <w:rsid w:val="009D63B7"/>
    <w:rsid w:val="009F126C"/>
    <w:rsid w:val="00A31574"/>
    <w:rsid w:val="00A80646"/>
    <w:rsid w:val="00B36A2E"/>
    <w:rsid w:val="00B413E3"/>
    <w:rsid w:val="00B7612B"/>
    <w:rsid w:val="00B97C2F"/>
    <w:rsid w:val="00BA33B3"/>
    <w:rsid w:val="00BB5B8C"/>
    <w:rsid w:val="00BE2C24"/>
    <w:rsid w:val="00C42C27"/>
    <w:rsid w:val="00C87FAD"/>
    <w:rsid w:val="00CA6566"/>
    <w:rsid w:val="00CC3A03"/>
    <w:rsid w:val="00D255A1"/>
    <w:rsid w:val="00D35ABF"/>
    <w:rsid w:val="00D67836"/>
    <w:rsid w:val="00DC58D8"/>
    <w:rsid w:val="00DD5911"/>
    <w:rsid w:val="00E32728"/>
    <w:rsid w:val="00E3716B"/>
    <w:rsid w:val="00E84D82"/>
    <w:rsid w:val="00EB1F7A"/>
    <w:rsid w:val="00F102E5"/>
    <w:rsid w:val="00F94052"/>
    <w:rsid w:val="00FA74B0"/>
    <w:rsid w:val="00FB73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BC67E"/>
  <w15:docId w15:val="{405902EC-9806-4B8A-AC5B-296DA87B1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21"/>
  </w:style>
  <w:style w:type="paragraph" w:styleId="Titre1">
    <w:name w:val="heading 1"/>
    <w:basedOn w:val="Normal"/>
    <w:next w:val="Normal"/>
    <w:link w:val="Titre1Car"/>
    <w:uiPriority w:val="9"/>
    <w:qFormat/>
    <w:rsid w:val="00EB1F7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EB1F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18FD"/>
    <w:pPr>
      <w:tabs>
        <w:tab w:val="center" w:pos="4536"/>
        <w:tab w:val="right" w:pos="9072"/>
      </w:tabs>
      <w:spacing w:after="0" w:line="240" w:lineRule="auto"/>
    </w:pPr>
  </w:style>
  <w:style w:type="character" w:customStyle="1" w:styleId="En-tteCar">
    <w:name w:val="En-tête Car"/>
    <w:basedOn w:val="Policepardfaut"/>
    <w:link w:val="En-tte"/>
    <w:uiPriority w:val="99"/>
    <w:rsid w:val="000E18FD"/>
  </w:style>
  <w:style w:type="paragraph" w:styleId="Pieddepage">
    <w:name w:val="footer"/>
    <w:basedOn w:val="Normal"/>
    <w:link w:val="PieddepageCar"/>
    <w:uiPriority w:val="99"/>
    <w:unhideWhenUsed/>
    <w:rsid w:val="000E1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18FD"/>
  </w:style>
  <w:style w:type="character" w:customStyle="1" w:styleId="Titre1Car">
    <w:name w:val="Titre 1 Car"/>
    <w:basedOn w:val="Policepardfaut"/>
    <w:link w:val="Titre1"/>
    <w:uiPriority w:val="9"/>
    <w:rsid w:val="00EB1F7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EB1F7A"/>
    <w:rPr>
      <w:rFonts w:asciiTheme="majorHAnsi" w:eastAsiaTheme="majorEastAsia" w:hAnsiTheme="majorHAnsi" w:cstheme="majorBidi"/>
      <w:color w:val="2F5496" w:themeColor="accent1" w:themeShade="BF"/>
      <w:sz w:val="26"/>
      <w:szCs w:val="26"/>
    </w:rPr>
  </w:style>
  <w:style w:type="paragraph" w:styleId="En-ttedetabledesmatires">
    <w:name w:val="TOC Heading"/>
    <w:basedOn w:val="Titre1"/>
    <w:next w:val="Normal"/>
    <w:uiPriority w:val="39"/>
    <w:unhideWhenUsed/>
    <w:qFormat/>
    <w:rsid w:val="009975CF"/>
    <w:pPr>
      <w:outlineLvl w:val="9"/>
    </w:pPr>
    <w:rPr>
      <w:lang w:eastAsia="fr-FR"/>
    </w:rPr>
  </w:style>
  <w:style w:type="paragraph" w:styleId="TM1">
    <w:name w:val="toc 1"/>
    <w:basedOn w:val="Normal"/>
    <w:next w:val="Normal"/>
    <w:autoRedefine/>
    <w:uiPriority w:val="39"/>
    <w:unhideWhenUsed/>
    <w:rsid w:val="009975CF"/>
    <w:pPr>
      <w:spacing w:after="100"/>
    </w:pPr>
  </w:style>
  <w:style w:type="paragraph" w:styleId="TM2">
    <w:name w:val="toc 2"/>
    <w:basedOn w:val="Normal"/>
    <w:next w:val="Normal"/>
    <w:autoRedefine/>
    <w:uiPriority w:val="39"/>
    <w:unhideWhenUsed/>
    <w:rsid w:val="009975CF"/>
    <w:pPr>
      <w:spacing w:after="100"/>
      <w:ind w:left="220"/>
    </w:pPr>
  </w:style>
  <w:style w:type="character" w:styleId="Lienhypertexte">
    <w:name w:val="Hyperlink"/>
    <w:basedOn w:val="Policepardfaut"/>
    <w:uiPriority w:val="99"/>
    <w:unhideWhenUsed/>
    <w:rsid w:val="009975CF"/>
    <w:rPr>
      <w:color w:val="0563C1" w:themeColor="hyperlink"/>
      <w:u w:val="single"/>
    </w:rPr>
  </w:style>
  <w:style w:type="paragraph" w:styleId="NormalWeb">
    <w:name w:val="Normal (Web)"/>
    <w:basedOn w:val="Normal"/>
    <w:uiPriority w:val="99"/>
    <w:unhideWhenUsed/>
    <w:rsid w:val="008E02E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F102E5"/>
    <w:rPr>
      <w:sz w:val="16"/>
      <w:szCs w:val="16"/>
    </w:rPr>
  </w:style>
  <w:style w:type="paragraph" w:styleId="Commentaire">
    <w:name w:val="annotation text"/>
    <w:basedOn w:val="Normal"/>
    <w:link w:val="CommentaireCar"/>
    <w:uiPriority w:val="99"/>
    <w:semiHidden/>
    <w:unhideWhenUsed/>
    <w:rsid w:val="00F102E5"/>
    <w:pPr>
      <w:spacing w:line="240" w:lineRule="auto"/>
    </w:pPr>
    <w:rPr>
      <w:sz w:val="20"/>
      <w:szCs w:val="20"/>
    </w:rPr>
  </w:style>
  <w:style w:type="character" w:customStyle="1" w:styleId="CommentaireCar">
    <w:name w:val="Commentaire Car"/>
    <w:basedOn w:val="Policepardfaut"/>
    <w:link w:val="Commentaire"/>
    <w:uiPriority w:val="99"/>
    <w:semiHidden/>
    <w:rsid w:val="00F102E5"/>
    <w:rPr>
      <w:sz w:val="20"/>
      <w:szCs w:val="20"/>
    </w:rPr>
  </w:style>
  <w:style w:type="paragraph" w:styleId="Objetducommentaire">
    <w:name w:val="annotation subject"/>
    <w:basedOn w:val="Commentaire"/>
    <w:next w:val="Commentaire"/>
    <w:link w:val="ObjetducommentaireCar"/>
    <w:uiPriority w:val="99"/>
    <w:semiHidden/>
    <w:unhideWhenUsed/>
    <w:rsid w:val="00F102E5"/>
    <w:rPr>
      <w:b/>
      <w:bCs/>
    </w:rPr>
  </w:style>
  <w:style w:type="character" w:customStyle="1" w:styleId="ObjetducommentaireCar">
    <w:name w:val="Objet du commentaire Car"/>
    <w:basedOn w:val="CommentaireCar"/>
    <w:link w:val="Objetducommentaire"/>
    <w:uiPriority w:val="99"/>
    <w:semiHidden/>
    <w:rsid w:val="00F102E5"/>
    <w:rPr>
      <w:b/>
      <w:bCs/>
      <w:sz w:val="20"/>
      <w:szCs w:val="20"/>
    </w:rPr>
  </w:style>
  <w:style w:type="paragraph" w:styleId="Rvision">
    <w:name w:val="Revision"/>
    <w:hidden/>
    <w:uiPriority w:val="99"/>
    <w:semiHidden/>
    <w:rsid w:val="00B97C2F"/>
    <w:pPr>
      <w:spacing w:after="0" w:line="240" w:lineRule="auto"/>
    </w:pPr>
  </w:style>
  <w:style w:type="paragraph" w:styleId="Textedebulles">
    <w:name w:val="Balloon Text"/>
    <w:basedOn w:val="Normal"/>
    <w:link w:val="TextedebullesCar"/>
    <w:uiPriority w:val="99"/>
    <w:semiHidden/>
    <w:unhideWhenUsed/>
    <w:rsid w:val="006148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148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830833">
      <w:bodyDiv w:val="1"/>
      <w:marLeft w:val="0"/>
      <w:marRight w:val="0"/>
      <w:marTop w:val="0"/>
      <w:marBottom w:val="0"/>
      <w:divBdr>
        <w:top w:val="none" w:sz="0" w:space="0" w:color="auto"/>
        <w:left w:val="none" w:sz="0" w:space="0" w:color="auto"/>
        <w:bottom w:val="none" w:sz="0" w:space="0" w:color="auto"/>
        <w:right w:val="none" w:sz="0" w:space="0" w:color="auto"/>
      </w:divBdr>
    </w:div>
    <w:div w:id="205234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1270</Words>
  <Characters>6990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AMU</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CABALERO Alize</dc:creator>
  <cp:lastModifiedBy>PASQUIER Christelle</cp:lastModifiedBy>
  <cp:revision>4</cp:revision>
  <cp:lastPrinted>2025-03-06T15:11:00Z</cp:lastPrinted>
  <dcterms:created xsi:type="dcterms:W3CDTF">2025-04-08T13:50:00Z</dcterms:created>
  <dcterms:modified xsi:type="dcterms:W3CDTF">2025-07-03T08:56:00Z</dcterms:modified>
</cp:coreProperties>
</file>